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b/>
          <w:bCs/>
          <w:sz w:val="18"/>
          <w:szCs w:val="18"/>
        </w:rPr>
        <w:t>一、招标范围和面积</w:t>
      </w:r>
    </w:p>
    <w:p>
      <w:pPr>
        <w:pStyle w:val="2"/>
      </w:pPr>
    </w:p>
    <w:tbl>
      <w:tblPr>
        <w:tblStyle w:val="11"/>
        <w:tblW w:w="7654" w:type="dxa"/>
        <w:tblInd w:w="1423" w:type="dxa"/>
        <w:tblBorders>
          <w:top w:val="single" w:color="EBEEF5" w:sz="4" w:space="0"/>
          <w:left w:val="single" w:color="EBEEF5" w:sz="4" w:space="0"/>
          <w:bottom w:val="single" w:color="EBEEF5" w:sz="4" w:space="0"/>
          <w:right w:val="single" w:color="EBEEF5" w:sz="4" w:space="0"/>
          <w:insideH w:val="single" w:color="EBEEF5" w:sz="4" w:space="0"/>
          <w:insideV w:val="single" w:color="EBEEF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850"/>
        <w:gridCol w:w="567"/>
        <w:gridCol w:w="851"/>
        <w:gridCol w:w="709"/>
        <w:gridCol w:w="708"/>
        <w:gridCol w:w="709"/>
        <w:gridCol w:w="992"/>
        <w:gridCol w:w="1134"/>
        <w:gridCol w:w="567"/>
      </w:tblGrid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page">
                        <wp:posOffset>7122160</wp:posOffset>
                      </wp:positionH>
                      <wp:positionV relativeFrom="page">
                        <wp:posOffset>361950</wp:posOffset>
                      </wp:positionV>
                      <wp:extent cx="8255" cy="9970135"/>
                      <wp:effectExtent l="0" t="0" r="3810" b="2540"/>
                      <wp:wrapNone/>
                      <wp:docPr id="7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" cy="997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EF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1" o:spid="_x0000_s1026" o:spt="1" style="position:absolute;left:0pt;margin-left:560.8pt;margin-top:28.5pt;height:785.05pt;width:0.65pt;mso-position-horizontal-relative:page;mso-position-vertical-relative:page;z-index:251667456;mso-width-relative:page;mso-height-relative:page;" fillcolor="#EBEEF5" filled="t" stroked="f" coordsize="21600,21600" o:allowincell="f" o:gfxdata="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G+KV/aAAAADQEAAA8AAAAA&#10;AAAAAQAgAAAAIgAAAGRycy9kb3ducmV2LnhtbFBLAQIUABQAAAAIAIdO4kCt88gDEgIAACkEAAAO&#10;AAAAAAAAAAEAIAAAACkBAABkcnMvZTJvRG9jLnhtbFBLBQYAAAAABgAGAFkBAACt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page">
                        <wp:posOffset>1093470</wp:posOffset>
                      </wp:positionH>
                      <wp:positionV relativeFrom="page">
                        <wp:posOffset>361950</wp:posOffset>
                      </wp:positionV>
                      <wp:extent cx="8255" cy="9970135"/>
                      <wp:effectExtent l="7620" t="0" r="3175" b="2540"/>
                      <wp:wrapNone/>
                      <wp:docPr id="6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" cy="997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EF5">
                                  <a:alpha val="84314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3" o:spid="_x0000_s1026" o:spt="1" style="position:absolute;left:0pt;margin-left:86.1pt;margin-top:28.5pt;height:785.05pt;width:0.65pt;mso-position-horizontal-relative:page;mso-position-vertical-relative:page;z-index:251669504;mso-width-relative:page;mso-height-relative:page;" fillcolor="#EBEEF5" filled="t" stroked="f" coordsize="21600,21600" o:allowincell="f" o:gfxdata="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J1SntcAAAALAQAADwAAAAAAAAABACAAAAAiAAAAZHJzL2Rvd25yZXYueG1sUEsBAhQAFAAAAAgA&#10;h07iQLWquT4mAgAASgQAAA4AAAAAAAAAAQAgAAAAJgEAAGRycy9lMm9Eb2MueG1sUEsFBgAAAAAG&#10;AAYAWQEAAL4FAAAAAA==&#10;">
                      <v:fill on="t" opacity="5525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page">
                        <wp:posOffset>422910</wp:posOffset>
                      </wp:positionH>
                      <wp:positionV relativeFrom="page">
                        <wp:posOffset>361950</wp:posOffset>
                      </wp:positionV>
                      <wp:extent cx="8255" cy="9970135"/>
                      <wp:effectExtent l="3810" t="0" r="0" b="2540"/>
                      <wp:wrapNone/>
                      <wp:docPr id="5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" cy="997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EEF5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2" o:spid="_x0000_s1026" o:spt="1" style="position:absolute;left:0pt;margin-left:33.3pt;margin-top:28.5pt;height:785.05pt;width:0.65pt;mso-position-horizontal-relative:page;mso-position-vertical-relative:page;z-index:251668480;mso-width-relative:page;mso-height-relative:page;" fillcolor="#EBEEF5" filled="t" stroked="f" coordsize="21600,21600" o:allowincell="f" o:gfxdata="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rTXOdgAAAAJAQAADwAAAAAA&#10;AAABACAAAAAiAAAAZHJzL2Rvd25yZXYueG1sUEsBAhQAFAAAAAgAh07iQI/EDL8TAgAAKQQAAA4A&#10;AAAAAAAAAQAgAAAAJwEAAGRycy9lMm9Eb2MueG1sUEsFBgAAAAAGAAYAWQEAAKw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drawing>
                <wp:anchor distT="0" distB="0" distL="0" distR="0" simplePos="0" relativeHeight="251665408" behindDoc="0" locked="0" layoutInCell="0" allowOverlap="1">
                  <wp:simplePos x="0" y="0"/>
                  <wp:positionH relativeFrom="page">
                    <wp:posOffset>1428750</wp:posOffset>
                  </wp:positionH>
                  <wp:positionV relativeFrom="page">
                    <wp:posOffset>361950</wp:posOffset>
                  </wp:positionV>
                  <wp:extent cx="7620" cy="996950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" cy="996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序    号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</w:t>
            </w:r>
            <w:r>
              <w:rPr>
                <w:rFonts w:asciiTheme="minorEastAsia" w:hAnsiTheme="minorEastAsia" w:eastAsiaTheme="minorEastAsia"/>
                <w:spacing w:val="-2"/>
                <w:sz w:val="18"/>
                <w:szCs w:val="18"/>
              </w:rPr>
              <w:t>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称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教室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办公</w:t>
            </w:r>
            <w:r>
              <w:rPr>
                <w:rFonts w:asciiTheme="minorEastAsia" w:hAnsiTheme="minorEastAsia" w:eastAsiaTheme="minorEastAsia"/>
                <w:spacing w:val="1"/>
                <w:sz w:val="18"/>
                <w:szCs w:val="18"/>
              </w:rPr>
              <w:t>室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(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个)</w:t>
            </w: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报告厅</w:t>
            </w: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会议室</w:t>
            </w: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筑面</w:t>
            </w:r>
            <w:r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  <w:t>积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平方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米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-4"/>
                <w:sz w:val="18"/>
                <w:szCs w:val="18"/>
              </w:rPr>
              <w:t>公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共区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域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保洁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面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积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平方米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玻璃幕墙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保洁面积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平方米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备</w:t>
            </w:r>
            <w:r>
              <w:rPr>
                <w:rFonts w:asciiTheme="minorEastAsia" w:hAnsiTheme="minorEastAsia" w:eastAsiaTheme="minorEastAsia"/>
                <w:spacing w:val="-3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云谷行政楼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5112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2198.16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云谷教学主楼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27247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11130.68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云谷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视觉传达楼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36218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14487.20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云谷图书馆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17891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872.04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云谷风雨操场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8552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651.12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云谷学生宿舍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32000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13760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云谷体育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场看台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2168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72.08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云谷学生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食堂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9980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794.4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新华音乐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6271.68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1630.64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楼一期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3115.40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930.47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楼二期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7143.00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2000.04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新华行政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4335.00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1603.95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新华综合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楼负一层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61.1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琴房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1774.42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763.00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新华图书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馆一期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2564.92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872.07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新华图书馆二期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4650.80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1488.26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新华演艺厅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3378.32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337.83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新华学生食堂一层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161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72.45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新华学生公寓一、二号楼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4935.00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1628.55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新华学生公寓三号楼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1471.00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470.72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新华学生公寓四号楼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1471.00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470.72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新华学生公寓五号楼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1611.00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579.96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新华学生公寓六号楼</w:t>
            </w: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4471.97</w:t>
            </w:r>
          </w:p>
        </w:tc>
        <w:tc>
          <w:tcPr>
            <w:tcW w:w="992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1028.55</w:t>
            </w:r>
          </w:p>
        </w:tc>
        <w:tc>
          <w:tcPr>
            <w:tcW w:w="1134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EBEEF5" w:sz="2" w:space="0"/>
              <w:bottom w:val="single" w:color="EBEEF5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18"/>
          <w:szCs w:val="18"/>
        </w:rPr>
      </w:pPr>
    </w:p>
    <w:p>
      <w:pPr>
        <w:rPr>
          <w:rFonts w:asciiTheme="minorEastAsia" w:hAnsiTheme="minorEastAsia" w:eastAsiaTheme="minorEastAsia"/>
          <w:sz w:val="18"/>
          <w:szCs w:val="18"/>
        </w:rPr>
        <w:sectPr>
          <w:footerReference r:id="rId5" w:type="default"/>
          <w:pgSz w:w="11900" w:h="16840"/>
          <w:pgMar w:top="570" w:right="671" w:bottom="276" w:left="666" w:header="0" w:footer="0" w:gutter="0"/>
          <w:cols w:space="720" w:num="1"/>
        </w:sectPr>
      </w:pPr>
    </w:p>
    <w:tbl>
      <w:tblPr>
        <w:tblStyle w:val="11"/>
        <w:tblW w:w="8979" w:type="dxa"/>
        <w:tblInd w:w="-10" w:type="dxa"/>
        <w:tblBorders>
          <w:top w:val="single" w:color="EBEEF5" w:sz="4" w:space="0"/>
          <w:left w:val="single" w:color="EBEEF5" w:sz="4" w:space="0"/>
          <w:bottom w:val="single" w:color="EBEEF5" w:sz="4" w:space="0"/>
          <w:right w:val="single" w:color="EBEEF5" w:sz="4" w:space="0"/>
          <w:insideH w:val="single" w:color="EBEEF5" w:sz="4" w:space="0"/>
          <w:insideV w:val="single" w:color="EBEEF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979" w:type="dxa"/>
            <w:tcBorders>
              <w:top w:val="single" w:color="EBEEF5" w:sz="2" w:space="0"/>
              <w:bottom w:val="single" w:color="EBEEF5" w:sz="2" w:space="0"/>
            </w:tcBorders>
          </w:tcPr>
          <w:p>
            <w:pP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二、服务内容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1、云谷校区保洁，新华校区保洁和绿化工作；两校区水电暖维修维护，日常维修；学生公寓楼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保洁和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值班；公共教室管理和保洁；电梯维保、变压器维保；两校区食堂食品安全监管、保洁、库管、财务监管；学校大型活动的保障服务，会议服务；疾病防控日常消毒、“除四害”及突发事件的保障服务。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2、校园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内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环境区域的柏油路、台阶路面、人行道、广场、停车场、绿化带、操场、篮球场等公共区域</w:t>
            </w:r>
          </w:p>
        </w:tc>
      </w:tr>
      <w:tr>
        <w:tblPrEx>
          <w:tblBorders>
            <w:top w:val="single" w:color="EBEEF5" w:sz="4" w:space="0"/>
            <w:left w:val="single" w:color="EBEEF5" w:sz="4" w:space="0"/>
            <w:bottom w:val="single" w:color="EBEEF5" w:sz="4" w:space="0"/>
            <w:right w:val="single" w:color="EBEEF5" w:sz="4" w:space="0"/>
            <w:insideH w:val="single" w:color="EBEEF5" w:sz="4" w:space="0"/>
            <w:insideV w:val="single" w:color="EBEEF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8979" w:type="dxa"/>
            <w:tcBorders>
              <w:top w:val="single" w:color="EBEEF5" w:sz="2" w:space="0"/>
              <w:bottom w:val="single" w:color="EBEEF5" w:sz="2" w:space="0"/>
            </w:tcBorders>
          </w:tcPr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本项目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服务人员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特别配置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要求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tbl>
            <w:tblPr>
              <w:tblStyle w:val="11"/>
              <w:tblpPr w:leftFromText="180" w:rightFromText="180" w:vertAnchor="text" w:horzAnchor="page" w:tblpX="107" w:tblpY="85"/>
              <w:tblOverlap w:val="never"/>
              <w:tblW w:w="8669" w:type="dxa"/>
              <w:tblInd w:w="0" w:type="dxa"/>
              <w:tblBorders>
                <w:top w:val="single" w:color="EBEEF5" w:sz="4" w:space="0"/>
                <w:left w:val="single" w:color="EBEEF5" w:sz="4" w:space="0"/>
                <w:bottom w:val="single" w:color="EBEEF5" w:sz="4" w:space="0"/>
                <w:right w:val="single" w:color="EBEEF5" w:sz="4" w:space="0"/>
                <w:insideH w:val="single" w:color="EBEEF5" w:sz="4" w:space="0"/>
                <w:insideV w:val="single" w:color="EBEEF5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9"/>
              <w:gridCol w:w="1715"/>
              <w:gridCol w:w="1394"/>
              <w:gridCol w:w="1892"/>
              <w:gridCol w:w="3039"/>
            </w:tblGrid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80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序 号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区 域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pacing w:val="3"/>
                      <w:sz w:val="18"/>
                      <w:szCs w:val="18"/>
                    </w:rPr>
                    <w:t>项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 xml:space="preserve">  目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人员配备数量 (人)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pacing w:val="-1"/>
                      <w:sz w:val="18"/>
                      <w:szCs w:val="18"/>
                    </w:rPr>
                    <w:t xml:space="preserve">备 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 xml:space="preserve">  注</w:t>
                  </w: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1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行政楼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会议</w:t>
                  </w: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服务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1人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1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变压器维保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维修维护值班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持证上岗</w:t>
                  </w: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5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水暖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值班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4人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学生公寓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值班员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16人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多媒体教室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管理员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3人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食堂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食品安全监管员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2人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食堂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库管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2人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食堂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财务管理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1人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EBEEF5" w:sz="4" w:space="0"/>
                  <w:left w:val="single" w:color="EBEEF5" w:sz="4" w:space="0"/>
                  <w:bottom w:val="single" w:color="EBEEF5" w:sz="4" w:space="0"/>
                  <w:right w:val="single" w:color="EBEEF5" w:sz="4" w:space="0"/>
                  <w:insideH w:val="single" w:color="EBEEF5" w:sz="4" w:space="0"/>
                  <w:insideV w:val="single" w:color="EBEEF5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62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15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琴房</w:t>
                  </w:r>
                </w:p>
              </w:tc>
              <w:tc>
                <w:tcPr>
                  <w:tcW w:w="1394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值班员</w:t>
                  </w:r>
                </w:p>
              </w:tc>
              <w:tc>
                <w:tcPr>
                  <w:tcW w:w="1892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  <w:t>3人</w:t>
                  </w:r>
                </w:p>
              </w:tc>
              <w:tc>
                <w:tcPr>
                  <w:tcW w:w="3039" w:type="dxa"/>
                  <w:tcBorders>
                    <w:top w:val="single" w:color="EBEEF5" w:sz="2" w:space="0"/>
                    <w:bottom w:val="single" w:color="EBEEF5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>四、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岗位要求：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0" w:name="_Hlk136872421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项目经理：应具备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本科及以上学历，从事5年以上同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类物业管理项目经理，具有相关资格证书及职称。熟悉行业要求、标准及相关法律法规。熟悉学生公寓及教室管理的各项规章制度和各岗位工作的操作流程；具备较强的奉献精神和组织管理能力；具备较强的服务意识和沟通能力；能配合开展学生思想教育工作。</w:t>
            </w:r>
          </w:p>
          <w:bookmarkEnd w:id="0"/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保洁主管：应具备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专科以上学历，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具有相关工作的管理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验。</w:t>
            </w:r>
            <w:bookmarkStart w:id="1" w:name="_Hlk13687285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身体健康，人品端正，作风正派，具备较强的责任心、服务意识和沟通能力，能够为人师表。</w:t>
            </w:r>
          </w:p>
          <w:bookmarkEnd w:id="1"/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3.保洁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员：具有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初中以上学历，具有相关工作经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验。身体健康，人品端正，规范操作，吃苦耐劳、熟知清洁工作的基本知识和操作流程。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4.水电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维修人员：应具备从业资格证书（水暖或电工专业）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，60周岁以下，3年以上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本行业工作经验，专业电工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必须持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有效证件上岗。熟练掌握本行业的安全操作规程，熟悉本行业要求、标准及相关法律法规。身体健康，吃苦耐劳、人品端正，作风正派，具备较强的集体主义观念，具有较强的责任心、服务意识和沟通能力。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5．值班员：值班人员必须2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4小时值班，随叫随到，熟悉值班区域的实际情况。水暖工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熟练掌握本校区的水、暖阀门位置，管线走向，运行情况等；电工人员熟练掌握本校区的供电线路、开关位置，供电情况等；公寓值班人员了解学生在楼内的动态情况。琴房值班员了解师生琴房使用情况。熟悉本行业要求、标准及相关法律法规。具有较强的责任心、服务意识和沟通能力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．财务管理：具有财会专业中级职称；熟悉会计操作、会计核算的流程与管理。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．食品安全监管员：年龄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周岁以下；具有足够的烹饪专业知识、管理经验能胜任本职工作；具有食品安全管理员或职业经理人资质证书。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．库房管理员：年龄在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周岁以下；具有大专及以上学历；有两年以上库房管理的工作经验；能熟练操作计算机办公软件。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保洁、洗碗工：年龄在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周岁以下；身体健康，能吃苦耐劳，有熟练的服务技能和一定的应变能力；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教室管理员：原则上应具有本行业工作经验，熟练掌握本行业的安全操作规程，熟悉行业要求、标准及相关法律法规。身体健康，人品端正，作风正派，具备较强的集体主义观念，具有较强的责任心、服务意识和沟通能力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五、服务标准及要求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</w:t>
            </w:r>
          </w:p>
          <w:p>
            <w:pPr>
              <w:pStyle w:val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（一）楼宇保洁服务：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负责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楼宇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内卫生的清扫、垃圾清运，每天至少清扫2次，并全天保持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楼宇内卫生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整洁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、空气清新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楼宇大厅、公共区域、</w:t>
            </w:r>
            <w:bookmarkStart w:id="2" w:name="_Hlk109114998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学术报告厅、音乐厅、接待室、会议室</w:t>
            </w:r>
            <w:bookmarkEnd w:id="2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、篮球馆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等场所：（1）地面、桌面（2）学术报告厅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会议室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的讲台、黑板，（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3）护栏、扶手，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4）墙壁、踢脚线、柱子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（5）垃圾箱、指示牌、安全出口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、开关面板，（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6）消防设备（含消防栓、灭火器、手动报警装置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、火灾显示器、烟感器），（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7）玻璃门窗、窗台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8）木门、防火门、强弱电井门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（9）暖气片、水管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10）天花板、吊顶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（11）照明灯具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等，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以上各公共区域必须做到光亮、无尘、无弃物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，无污迹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、无脱落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各楼层步梯间的（1）地面，（2）护栏、扶手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3）墙壁、踢脚线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（4）指示牌、安全出口、灯具、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开关面板，（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5）防火门（6）玻璃窗户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、窗台，（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7）暖气片、水管等，以上公共区域必须做到光亮、无尘、无污迹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、洁净、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无弃。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卫生间、开水间、储物间的（1）地面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（2）墙壁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3）洗手池、台面、水龙头、镜子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（4）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厕间隔板、脚踏阀，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（5）垃圾桶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（6）玻璃窗户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、窗台，（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7）暖气片、水管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（8）大便池、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小便池、墩布池，（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9）木门、金属件，（10）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开水器、饮水机，（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11）天花板、照明灯具、排风扇等，以上公共区域必须做到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无尘、光亮、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无弃物、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无污迹。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梯间的（1）电梯轿厢内地面、轿厢壁、门、按键盘、轿厢顶、制度牌、照明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灯具（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2）电梯轿厢外各层电梯门、按键盘、指示牌、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电梯槽，（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3）轿厢壁（清洗上不锈钢保护油）1次/月。以上区域必须做到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（洁净、光亮、无尘、无污渍），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地下一层、阳台、楼顶、楼体周围环境卫生：（1）地面、墙面、指示牌，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2）消防设备、管道、设备间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（3）木门、防火门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（4）步梯间、电梯间及走廊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（5）楼体周围环境包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括：台阶外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1米、洒水外1米、台阶扶手、护栏、采光井玻璃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6）阳台、楼顶、平台、天井等，以上公共区域必须做到无垃圾，干净，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整洁、无污迹、无弃物、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无杂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草。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．捡拾遗失物品应登记备案、完好交还失主；发现火情、治安事件、嫌疑人员、可疑现象、水暖跑冒、燃气泄漏等紧急情况，应及时上报并协助处理。</w:t>
            </w:r>
          </w:p>
          <w:p>
            <w:pPr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（二）室外保洁服务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bookmarkStart w:id="3" w:name="_Hlk109201582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负责校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内卫生的清扫、垃圾清运，每天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至少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清扫2次，并全天保持整洁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，楼宇内无老鼠、蟑螂、蚊、虫等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。</w:t>
            </w:r>
          </w:p>
          <w:bookmarkEnd w:id="3"/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地面、路面机械化作业率85%以上，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合理安排清扫时间，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作业过程中应控制扬尘和噪音污染，对于浮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尘污染严重的路面应采取有效措施控制浮尘并进行彻底清扫。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．保证责任区内桌、凳（椅）干净整洁、无污物，宣传广告栏、标识牌等干净整洁。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每天必须在规定的时间内将责任区清扫干净，同时还必须坚持日常7小时巡视保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洁工作。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保证责任区内地面干净整洁、人行道无杂草，草坪无垃圾、无白色污染、果皮箱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外表整洁、辖区内无小招贴小广告。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校园内、各楼内卫生间门帘及公共区域标识醒目、设计优雅、安排合理、质地优良。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负责校园的文化设施设备的管理，营造良好的校园文化氛围，包含对学校各类校 园文化装饰物、标牌按时进行清洗及维护。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每学期各楼宇的外墙和玻璃进行一次彻底清洗、深度清洁；楼宇二层以下的外墙玻璃时刻保持洁净。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清扫的杂物垃圾必须运到指定的垃圾场，严禁任意乱倒，并负责做好树叶、树枝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等堆放场地的消防安全。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负责校园内各类杂物的清理、生活垃圾的二次转运。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．及时清扫道路积水；冬季，以雪为令，雪停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24小时内完成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校园内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主干道路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、主要人行通道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的清扫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，并做好台阶坡道的防滑工作。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（三）绿化服务：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服务标准：花草树木茂盛，按季节种植各类花草，不得出现枯萎，浇灌使用喷头或喷灌，无荒芜及沙土暴露等现象。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绿化养护中产生的垃圾、死树、树叶、树枝、草屑等物由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承担运输倾倒责任。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具体要求：花草树木的补种、移植、浇灌、修剪、除草、施肥、花坛摆放、保温、防治病虫害等的养护管理工作。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（四）垃圾清运服务：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楼宇门前垃圾桶实行袋装化，保洁人员每天定时将垃圾袋装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好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后运送至指定垃圾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排放点，并负责校区垃圾外运工作，务必做到校区内生活垃圾日产日清。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楼宇门前收集垃圾时要做到车走场清、地面洁净。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垃圾桶及周边要保持整洁、卫生，无污水、无散落垃圾、无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老鼠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苍蝇蚊虫、无异常气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味等。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（五）维修服务：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．负责建筑本体、公共设备设施的维修维护。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．负责单项材料费用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元以内的基础设施及配套设备设施的维修、维护、更替，由物业公司安排人员维修。单项材料费用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元以上的维修、更新由校方负责（材料费用标准由校方与物业公司共同鉴定）。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3．突发性维修项目（如：下水堵塞、供水系统维修、暖气漏水、室内线路故障、更换线路、灯管，插座、开关、断路器、门、窗、床、卫生间隔板损坏等等）自接到维修之时起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分钟到达现场，并进行维修更换；所使用的材料必须符合国标产品，不得使用假冒伪劣产品。小型维修项目必须立即完成，不得过夜。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4．墙面掉皮、破损，室内及屋顶漏水，瓷砖空鼓、破损等要及时进行维修，保障其使用功能和外观形象。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5．保障室外照明及休闲场所的灯光及其他设备设施的维修维护，保持校园内路面的平整，无坑洼、无破损，发现问题及时修复。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．及时检查配电箱、变压器及其它配电设备设施的运行情况，保证配电设备设施的安全平稳运行。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7．定期检查、维护上下水管道，及时清掏污水井、化粪池、隔油池、雨水井等，避免校园内堵、漏、跑、冒现象。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8．检查维修消防管道及设备设施，及时维修处理固定电话设备设施的故障。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9．按校方的需求，进行水、电、暖等小型改造工程。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按要求认真做好变压器和电梯维修、维保、检测，及时排除故障，确保正常运行。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（六）琴房管理：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1.按规定时间开放琴房门，不得迟到早退。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2.认真做好值班记录，处理突发事件。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3.严格按照各琴房定员名单用琴房卡，检查和制止学生乱串琴房。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4.按照琴房管理制度，无琴卡者不准进入琴房。上课和练琴时不准会客。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5.负责琴房系统的简单维护与保养，检查琴房系统的日常运行情况及记录，平时教师和学生琴房卡的补录工作。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6.上班时间：7：30-12：00，下午：14：20-21：30，夜间：21：30-22：30。制止外来人员进入琴房。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7.负责开关照明电闸，并对琴房物品和设施进行维护和登记。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8.琴房关闭时，要认真检查门窗，关水、关电、锁门。注意防火、防盗，并认真如实填写当日值班记录。定期检查安全消防设施，做好琴房的安防保卫工作。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9.保证琴房的正常秩序，对违反琴房使用规定的行为要及时予以纠正。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（七）公寓值班服务：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1．严格遵守学校、学生公寓的相关规章制度，做好学生公寓的服务工作。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．做好学生公寓楼内的值班工作，值班期间不脱岗、不迟到不早退、不做与本职工作无关的事情。云谷校区值班员工作时间两班倒，上两天休两天（上48小时休48小时），无节假日等特殊情况，寒暑假正常上班。新华校区值班员工作时间两班倒，上一天休一天（上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小时休2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小时）无节假日等特殊情况，寒暑假正常上班。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3．做好值班记录和交接班工作。按时交接班，若因有事外出，与管理员请假，对来访人员办理登记手续。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4．大件物品出楼要登记核实，闲杂人员不得进入学生公寓。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5．做好学生公寓的服务保障工作，帮助学生及时解决生活中的困难，发现学生生病及非正常现象要及时上报和处理。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6．做好学生公寓防火工作。严查学生在宿舍内使用电热毯及电炉等违禁电器情况，发现不安全因素迅速处理及时上报。  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7．做好学生公寓楼内水、电、暖、通讯、网络及其他设施设备的报修工作。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8、对学生要微笑服务，不得与学生发生正面冲突、用语要文明，为学生提供最优质的服务。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（八）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多媒体教室管理服务：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1.要有高度的责任心，保证教学活动正常进行，认真做好多媒体教室的使用记录，每月向教务处统计报告一次。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2.积极配合各教学单位开展多媒体教学，并提供多媒体技术服务，以优化教学手段，提高教学质量。树立服务意识，积极热情接待广大多媒体教室使用教师，做到既方便教师，又做好管理。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.上班时间：上午8:00-12:15，下午13:15-18:15。晚上如有各种讲座及学生活动，按照申请单位安排的时间做好值班保障；周六、日有课上班，保证日常教学正常进行。上课前30分钟必须到岗，上课前10分钟必须做好所有多媒体教室的准备工作，能够指导教师正确地使用多媒体设备，防止因操作不当造成设备损坏，及时处理教师使用多媒体教室过程中出现的故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4.负责多媒体教室及监控室的监控和管理，以及软、硬件维护。下课后认真检查设备，保证设备正常完好。定期检查和维护设备，发现故障立即排除或上报教务处，保证设备正常运行。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5.定期检查安全消防设施，做好多媒体教室的安防保卫工作。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（九）餐饮服务：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1．按照《食品卫生法》做好食品安全管理工作，依据市场监督管理局要求，申领《食品卫生许可证》，并每年进行一次年审。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．按照食品监督要求，制定各项管理制度，确保学生和教职工的食品安全和就餐需求。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3．食品从业人员必须持证上岗（健康证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、技术等级证等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．严把进货渠道关。不得采购来路不明的食品，采购员必须采购通过学校招标的中标单位食材，可以从多家中标单位中任意选购，并建立进货登记制度。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．食堂供应的膳食应注意营养搭配，保持食材新鲜，营养均衡。严禁给师生供应腐烂、变质、过期食品；新鲜的瓜果蔬菜必须要认真清洗；严防食物中毒。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6．保持食堂内外的环境卫生，环境卫生采取“三防”“四定”办法，每个环节都实行分工、包工负责。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．每餐必须对餐具进行清洗消毒，食品用具、餐具实行“四过关”，即：一洗、二刷、三冲、四消毒，或采取开水煮沸和蒸气高温消毒。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．操作间、餐厅做到每天清洗、擦扫；每周大扫除，油烟机、操作台、墙壁、地面保持清洁、无污垢。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．加强食品保管和库房管理。存放的食品要分类，隔墙离地，专人保管，负责人定时检查。库房应当干燥、通风，采取消除苍蝇、老鼠、蟑螂和其他有害昆虫及其孳生条件的措施，贮存食品的容器必须安全、无害，防止食品污染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．建立健全食品安全管理档案，督促相关从业人员做好食品原料进货台账、餐饮器具消毒记录、餐厨废弃物处理记录、食品添加剂使用记录等。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食品安全监管员组织拟定食品安全管理制度，督促落实食品安全责任制，从业人员健康管理、供货者管理、进货查验、生产经营过程控制、安全自查、食品安全信息追溯建设、投诉举报处理等食品安全方面的责任要求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．工作人员要认真做好防盗、防火、防毒、用电、用气安全，不准撕拉、乱接电源；开油锅人员不得随便离开，防止发生事故，电器、制冷设备应有专人管理。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．遇发生突发事件，及时向餐饮中心主管领导汇报，由主管领导向市场监督管理部门进行报告，采取有效措施防止事态进一步扩大，配合相关部门进行调查处理。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（十）重大活动保障服务：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负责其物业服务区内的公共区域、公共设施、公共卫生保洁以及水电暖等的服务保障。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负责各楼宇门前的卫生、负责环楼宇周边道路和广场的卫生保洁。遇有会议接待、重大庆祝、上级检查评估等活动时，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须按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提出的特殊要求做好服务区域内的各项工作。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2、疾病防控及突发事件处理：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负责其物业服务区内的重大流行性疾病防控及消毒查杀等措施，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协助</w:t>
            </w:r>
            <w:bookmarkStart w:id="4" w:name="_GoBack"/>
            <w:bookmarkEnd w:id="4"/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对师生日常行为规范进行管理，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应参与并配合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采购人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进行火灾、漏水及治安等突发事件的处理，并认真做好楼宇内消防设施设备的日常检查、管理和维护。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十四、违约责任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1、服务商违反本协议，未达到本协议约定的管理服务标准要求中的任何一项，采购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人有权对服务商进行罚款，经采购人催告后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7日内仍无改进的，采购人有权向服务商追究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全年物业管理服务费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1%的违约金，服务商的上述违约行为累积达到三次的，采购人有权单方面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终止合同。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2、综合考核结果累计三次低于85分，采购人有权向服务商追究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全年物业管理服务费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2%的违约金作为处罚，下次考核仍无改进的采购人有权单方面终止合同。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3、发生上述任何一种情形，采购人提出终止合同，服务商应当赔偿由此给采购人造成的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一切直接及间接经济损失（包括但不限于一方因主张权利所花费的交通费、住宿费、诉讼费、律师费、保全费、保全保险费和其他合理费用。），并承担合同总价款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30%的违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约金。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六、考核与奖惩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（一）日常考核与奖惩：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1.日常考核每周至少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1次，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由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后勤保障处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、各楼宇使用部门和服务商三方共同检查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采取定期与不定期的检查方式进行抽查与考核，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 .每月由三方部门工作人员共同以《物业管理服务标准及要求》进行考核评分，对不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达标项目视情况给予处罚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，罚款从每月服务费中扣除。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（二）综合考核与奖惩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1.综合考核由三方以上部门人员共同执行（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后勤保障处、使用部门、服务商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），按月进行考核；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后勤保障处和使用部门的考核结果分别占总积分的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60%和40%。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 考核标准满分为100分，考核结果达到85分以上（含85分）为达标，采购人按合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同中双方约定付款方式及报账程序向服务商支付物业管理服务费。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当月综合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考核结果低于85分为不达标，采购人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扣除该月物业管理服务费总额的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10%作为违约金，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全年考核结果累计三个月不达标，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采购人有权单方面终止合同。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</w:tc>
      </w:tr>
    </w:tbl>
    <w:p>
      <w:pPr>
        <w:rPr>
          <w:rFonts w:hint="eastAsia" w:asciiTheme="minorEastAsia" w:hAnsiTheme="minorEastAsia" w:eastAsiaTheme="minorEastAsia"/>
          <w:b/>
          <w:bCs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7122160</wp:posOffset>
                </wp:positionH>
                <wp:positionV relativeFrom="page">
                  <wp:posOffset>361950</wp:posOffset>
                </wp:positionV>
                <wp:extent cx="8255" cy="9970135"/>
                <wp:effectExtent l="0" t="0" r="3810" b="2540"/>
                <wp:wrapNone/>
                <wp:docPr id="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970135"/>
                        </a:xfrm>
                        <a:prstGeom prst="rect">
                          <a:avLst/>
                        </a:prstGeom>
                        <a:solidFill>
                          <a:srgbClr val="EBEEF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o:spt="1" style="position:absolute;left:0pt;margin-left:560.8pt;margin-top:28.5pt;height:785.05pt;width:0.65pt;mso-position-horizontal-relative:page;mso-position-vertical-relative:page;z-index:251662336;mso-width-relative:page;mso-height-relative:page;" fillcolor="#EBEEF5" filled="t" stroked="f" coordsize="21600,21600" o:allowincell="f" o:gfxdata="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vilf2gAAAA0BAAAPAAAA&#10;AAAAAAEAIAAAACIAAABkcnMvZG93bnJldi54bWxQSwECFAAUAAAACACHTuJATZjnoxMCAAAoBAAA&#10;DgAAAAAAAAABACAAAAApAQAAZHJzL2Uyb0RvYy54bWxQSwUGAAAAAAYABgBZAQAAr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361950</wp:posOffset>
                </wp:positionV>
                <wp:extent cx="8255" cy="9970135"/>
                <wp:effectExtent l="3810" t="0" r="0" b="2540"/>
                <wp:wrapNone/>
                <wp:docPr id="3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9970135"/>
                        </a:xfrm>
                        <a:prstGeom prst="rect">
                          <a:avLst/>
                        </a:prstGeom>
                        <a:solidFill>
                          <a:srgbClr val="EBEEF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o:spt="1" style="position:absolute;left:0pt;margin-left:33.3pt;margin-top:28.5pt;height:785.05pt;width:0.65pt;mso-position-horizontal-relative:page;mso-position-vertical-relative:page;z-index:251663360;mso-width-relative:page;mso-height-relative:page;" fillcolor="#EBEEF5" filled="t" stroked="f" coordsize="21600,21600" o:allowincell="f" o:gfxdata="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rTXOdgAAAAJAQAADwAAAAAA&#10;AAABACAAAAAiAAAAZHJzL2Rvd25yZXYueG1sUEsBAhQAFAAAAAgAh07iQASOVUUTAgAAKAQ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18"/>
          <w:szCs w:val="1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1093470</wp:posOffset>
            </wp:positionH>
            <wp:positionV relativeFrom="page">
              <wp:posOffset>361950</wp:posOffset>
            </wp:positionV>
            <wp:extent cx="7620" cy="9969500"/>
            <wp:effectExtent l="0" t="0" r="7620" b="1270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2" cy="9969740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18"/>
          <w:szCs w:val="1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1428750</wp:posOffset>
            </wp:positionH>
            <wp:positionV relativeFrom="page">
              <wp:posOffset>361950</wp:posOffset>
            </wp:positionV>
            <wp:extent cx="7620" cy="99695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2" cy="996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1159510</wp:posOffset>
                </wp:positionH>
                <wp:positionV relativeFrom="page">
                  <wp:posOffset>8566785</wp:posOffset>
                </wp:positionV>
                <wp:extent cx="92710" cy="170815"/>
                <wp:effectExtent l="0" t="3810" r="0" b="0"/>
                <wp:wrapNone/>
                <wp:docPr id="2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6" o:spt="202" type="#_x0000_t202" style="position:absolute;left:0pt;margin-left:91.3pt;margin-top:674.55pt;height:13.45pt;width:7.3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LWBodoAAAANAQAADwAAAAAAAAABACAAAAAiAAAAZHJzL2Rvd25y&#10;ZXYueG1sUEsBAhQAFAAAAAgAh07iQBoHvd38AQAAAwQ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</w:p>
    <w:p>
      <w:pPr>
        <w:pStyle w:val="2"/>
      </w:pPr>
    </w:p>
    <w:p/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</w:p>
    <w:p>
      <w:pPr>
        <w:rPr>
          <w:rFonts w:asciiTheme="minorEastAsia" w:hAnsiTheme="minorEastAsia" w:eastAsiaTheme="minorEastAsia"/>
          <w:b/>
          <w:bCs/>
          <w:sz w:val="18"/>
          <w:szCs w:val="18"/>
        </w:rPr>
      </w:pPr>
    </w:p>
    <w:sectPr>
      <w:footerReference r:id="rId6" w:type="default"/>
      <w:pgSz w:w="11900" w:h="16840"/>
      <w:pgMar w:top="785" w:right="671" w:bottom="276" w:left="6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ucida Sans Unicode" w:hAnsi="Lucida Sans Unicode" w:eastAsia="Lucida Sans Unicode" w:cs="Lucida Sans Unicode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2" name="文本框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dr/gt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dUK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edr/g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ucida Sans Unicode" w:hAnsi="Lucida Sans Unicode" w:eastAsia="Lucida Sans Unicode" w:cs="Lucida Sans Unicode"/>
        <w:szCs w:val="24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文本框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qzJgtAgAAWQQAAA4AAABkcnMvZTJvRG9jLnhtbK1UzY7TMBC+I/EO&#10;lu80aVesSt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I3qzJg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8CF11"/>
    <w:multiLevelType w:val="singleLevel"/>
    <w:tmpl w:val="DBF8CF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0NzgwNjk2NWQyOGQxOGQ0NzdlNGM1NWQ2MGYwYjgifQ=="/>
    <w:docVar w:name="KSO_WPS_MARK_KEY" w:val="e4f41bbb-42e8-49a2-b08c-c4aa10bb3670"/>
  </w:docVars>
  <w:rsids>
    <w:rsidRoot w:val="00801CE1"/>
    <w:rsid w:val="00012E29"/>
    <w:rsid w:val="00024211"/>
    <w:rsid w:val="000440AA"/>
    <w:rsid w:val="00091CBA"/>
    <w:rsid w:val="00095109"/>
    <w:rsid w:val="000C4950"/>
    <w:rsid w:val="000D2085"/>
    <w:rsid w:val="000F485D"/>
    <w:rsid w:val="001154B7"/>
    <w:rsid w:val="00124F51"/>
    <w:rsid w:val="00126B36"/>
    <w:rsid w:val="00155D81"/>
    <w:rsid w:val="0017728A"/>
    <w:rsid w:val="001853D4"/>
    <w:rsid w:val="0019544B"/>
    <w:rsid w:val="001A78DC"/>
    <w:rsid w:val="002207EE"/>
    <w:rsid w:val="00234816"/>
    <w:rsid w:val="00287081"/>
    <w:rsid w:val="002C368C"/>
    <w:rsid w:val="002F136A"/>
    <w:rsid w:val="002F750C"/>
    <w:rsid w:val="00321084"/>
    <w:rsid w:val="0036615D"/>
    <w:rsid w:val="00371FC4"/>
    <w:rsid w:val="003760B2"/>
    <w:rsid w:val="003E04D7"/>
    <w:rsid w:val="003F728B"/>
    <w:rsid w:val="004001CD"/>
    <w:rsid w:val="00402B69"/>
    <w:rsid w:val="00465F62"/>
    <w:rsid w:val="0048535B"/>
    <w:rsid w:val="004A06E5"/>
    <w:rsid w:val="004C66BD"/>
    <w:rsid w:val="00530436"/>
    <w:rsid w:val="00564893"/>
    <w:rsid w:val="00576E76"/>
    <w:rsid w:val="00590583"/>
    <w:rsid w:val="005D265B"/>
    <w:rsid w:val="005D3E00"/>
    <w:rsid w:val="00613A65"/>
    <w:rsid w:val="0062643B"/>
    <w:rsid w:val="00640C7A"/>
    <w:rsid w:val="00686262"/>
    <w:rsid w:val="006A7150"/>
    <w:rsid w:val="006A7335"/>
    <w:rsid w:val="006D1C97"/>
    <w:rsid w:val="006F6C5E"/>
    <w:rsid w:val="007122CC"/>
    <w:rsid w:val="00713A37"/>
    <w:rsid w:val="00733C60"/>
    <w:rsid w:val="00742A73"/>
    <w:rsid w:val="00764D3E"/>
    <w:rsid w:val="00764DAE"/>
    <w:rsid w:val="007729F4"/>
    <w:rsid w:val="007C7C35"/>
    <w:rsid w:val="007D44F0"/>
    <w:rsid w:val="00801CE1"/>
    <w:rsid w:val="00802B8A"/>
    <w:rsid w:val="00825315"/>
    <w:rsid w:val="008C57E7"/>
    <w:rsid w:val="00907921"/>
    <w:rsid w:val="0091718D"/>
    <w:rsid w:val="009337ED"/>
    <w:rsid w:val="009351B5"/>
    <w:rsid w:val="009A4919"/>
    <w:rsid w:val="009B62E1"/>
    <w:rsid w:val="009D5788"/>
    <w:rsid w:val="009E7559"/>
    <w:rsid w:val="00A34FA8"/>
    <w:rsid w:val="00A4734F"/>
    <w:rsid w:val="00A5408C"/>
    <w:rsid w:val="00AD421C"/>
    <w:rsid w:val="00AD6255"/>
    <w:rsid w:val="00B01D98"/>
    <w:rsid w:val="00B40EAE"/>
    <w:rsid w:val="00B74306"/>
    <w:rsid w:val="00B84F07"/>
    <w:rsid w:val="00B90C8F"/>
    <w:rsid w:val="00BA5C02"/>
    <w:rsid w:val="00BF0A7D"/>
    <w:rsid w:val="00BF385E"/>
    <w:rsid w:val="00C30E39"/>
    <w:rsid w:val="00C720A2"/>
    <w:rsid w:val="00C77B93"/>
    <w:rsid w:val="00CC0043"/>
    <w:rsid w:val="00CE5859"/>
    <w:rsid w:val="00CF1BAB"/>
    <w:rsid w:val="00D16948"/>
    <w:rsid w:val="00D47777"/>
    <w:rsid w:val="00D74531"/>
    <w:rsid w:val="00DA593C"/>
    <w:rsid w:val="00E12E41"/>
    <w:rsid w:val="00E26813"/>
    <w:rsid w:val="00E47DA9"/>
    <w:rsid w:val="00E636A4"/>
    <w:rsid w:val="00EA6F9B"/>
    <w:rsid w:val="00EB4B10"/>
    <w:rsid w:val="00ED0913"/>
    <w:rsid w:val="00EE771A"/>
    <w:rsid w:val="00EF2F1A"/>
    <w:rsid w:val="00EF3133"/>
    <w:rsid w:val="00F21490"/>
    <w:rsid w:val="00F646E3"/>
    <w:rsid w:val="00F83E4F"/>
    <w:rsid w:val="00FA6432"/>
    <w:rsid w:val="00FD0702"/>
    <w:rsid w:val="016D380E"/>
    <w:rsid w:val="02AB3D4B"/>
    <w:rsid w:val="02DB127E"/>
    <w:rsid w:val="074D3623"/>
    <w:rsid w:val="07677D97"/>
    <w:rsid w:val="117D2D56"/>
    <w:rsid w:val="15A912CA"/>
    <w:rsid w:val="18914B4C"/>
    <w:rsid w:val="1B0276E0"/>
    <w:rsid w:val="1E7C51A0"/>
    <w:rsid w:val="28AA123F"/>
    <w:rsid w:val="290D27BA"/>
    <w:rsid w:val="2C3E7D27"/>
    <w:rsid w:val="45401AF6"/>
    <w:rsid w:val="50011E81"/>
    <w:rsid w:val="567A76CF"/>
    <w:rsid w:val="60721830"/>
    <w:rsid w:val="608508AD"/>
    <w:rsid w:val="662E7337"/>
    <w:rsid w:val="67492634"/>
    <w:rsid w:val="707F70C6"/>
    <w:rsid w:val="724D388C"/>
    <w:rsid w:val="76147CE2"/>
    <w:rsid w:val="763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80" w:lineRule="exact"/>
      <w:textAlignment w:val="baseline"/>
    </w:pPr>
    <w:rPr>
      <w:rFonts w:ascii="仿宋" w:hAnsi="仿宋" w:eastAsia="仿宋" w:cs="Times New Roman"/>
      <w:snapToGrid w:val="0"/>
      <w:color w:val="000000"/>
      <w:sz w:val="13"/>
      <w:szCs w:val="13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宋体" w:hAnsi="宋体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line="360" w:lineRule="exact"/>
      <w:outlineLvl w:val="2"/>
    </w:pPr>
    <w:rPr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tabs>
        <w:tab w:val="left" w:pos="1134"/>
      </w:tabs>
      <w:spacing w:line="280" w:lineRule="atLeast"/>
    </w:pPr>
    <w:rPr>
      <w:rFonts w:eastAsia="PMingLiU"/>
      <w:sz w:val="24"/>
      <w:lang w:eastAsia="zh-TW"/>
    </w:rPr>
  </w:style>
  <w:style w:type="paragraph" w:styleId="6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01"/>
    <w:basedOn w:val="10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10"/>
    <w:autoRedefine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paragraph" w:customStyle="1" w:styleId="1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styleId="15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1168</Words>
  <Characters>6662</Characters>
  <Lines>55</Lines>
  <Paragraphs>15</Paragraphs>
  <TotalTime>1</TotalTime>
  <ScaleCrop>false</ScaleCrop>
  <LinksUpToDate>false</LinksUpToDate>
  <CharactersWithSpaces>7815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2024-02-02T06:55:00Z</dcterms:created>
  <dc:creator>2</dc:creator>
  <cp:lastModifiedBy>__tian</cp:lastModifiedBy>
  <cp:lastPrinted>2024-01-22T15:18:00Z</cp:lastPrinted>
  <dcterms:modified xsi:type="dcterms:W3CDTF">2024-02-04T04:40:23Z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2024-01-15T11:18:42Z</vt:filetime>
  </property>
  <property fmtid="{D5CDD505-2E9C-101B-9397-08002B2CF9AE}" pid="4" name="KSOProductBuildVer">
    <vt:lpwstr>2052-12.1.0.16250</vt:lpwstr>
  </property>
  <property fmtid="{D5CDD505-2E9C-101B-9397-08002B2CF9AE}" pid="5" name="ICV">
    <vt:lpwstr>FBC57DD0790E4F518BA603E90E3B3653_13</vt:lpwstr>
  </property>
</Properties>
</file>