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内蒙古自治区医疗保障信息平台业务经办子系统及数据治理服务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内蒙古自治区大数据中心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内蒙古自治区公共资源交易中心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NMGZC-G-F-250006</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内蒙古自治区公共资源交易中心</w:t>
      </w:r>
      <w:r>
        <w:rPr>
          <w:rFonts w:ascii="仿宋_GB2312" w:hAnsi="仿宋_GB2312" w:cs="仿宋_GB2312" w:eastAsia="仿宋_GB2312"/>
        </w:rPr>
        <w:t xml:space="preserve"> 受 </w:t>
      </w:r>
      <w:r>
        <w:rPr>
          <w:rFonts w:ascii="仿宋_GB2312" w:hAnsi="仿宋_GB2312" w:cs="仿宋_GB2312" w:eastAsia="仿宋_GB2312"/>
        </w:rPr>
        <w:t>内蒙古自治区大数据中心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内蒙古自治区医疗保障信息平台业务经办子系统及数据治理服务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内蒙古自治区医疗保障信息平台业务经办子系统及数据治理服务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NMGZC-G-F-250006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内政采计划[2025]00390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9,131,000.00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内蒙古自治区医疗保障信息平台业务经办子系统及数据治理服务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9,131,000.00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内蒙古自治区公共资源交易中心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内蒙古自治区呼和浩特市赛罕区内蒙古呼和浩特市赛罕区敕勒川大街6号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王晓晓</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0471-5332653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内蒙古自治区大数据中心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内蒙古自治区大数据中心</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18435155486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质疑联系人：阮佳 联系电话:0471-5332613</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内蒙古自治区大数据中心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内蒙古自治区公共资源交易中心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审查投标人提供的参加政府采购依法缴纳税收和社会保障资金承诺书(格式自拟)。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审查投标人提供的具有履行合同所必须的设备和专业技术能力的声明函(格式自拟)。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内蒙古自治区医疗保障信息平台建设严格遵循全国医疗保障信息化顶层设计和总体规划，依据全国统一的技术标准、业务标准、业务规范，着力打造医疗保障现代化支撑和服务平台，助力“全国一盘棋”格局形成，发挥信息化对医疗保障事业的支撑和服务作用。为实现医保核心业务办理、基础信息管理、数据质量管理、数据治理等，确保全区医疗保障平台持续稳定运行，开展内蒙古自治区医疗保障信息平台业务经办子系统和数据治理运行维护服务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自合同签订后，按约定的服务期限开始后一年。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1、合同签订后，向中标人支付合同金额的40%，达到付款条件起30日，支付合同总金额的40.00%</w:t>
            </w:r>
          </w:p>
          <w:p>
            <w:pPr>
              <w:pStyle w:val="null5"/>
              <w:jc w:val="left"/>
            </w:pPr>
            <w:r>
              <w:rPr>
                <w:rFonts w:ascii="仿宋_GB2312" w:hAnsi="仿宋_GB2312" w:cs="仿宋_GB2312" w:eastAsia="仿宋_GB2312"/>
              </w:rPr>
              <w:t>2、服务期满6个月经中期服务质量验收合格后支付合同金额的40%，达到付款条件起30日，支付合同总金额的40.00%</w:t>
            </w:r>
          </w:p>
          <w:p>
            <w:pPr>
              <w:pStyle w:val="null5"/>
              <w:jc w:val="left"/>
            </w:pPr>
            <w:r>
              <w:rPr>
                <w:rFonts w:ascii="仿宋_GB2312" w:hAnsi="仿宋_GB2312" w:cs="仿宋_GB2312" w:eastAsia="仿宋_GB2312"/>
              </w:rPr>
              <w:t>3、服务期满经终验通过后，按绩效考核结果支付尾款，达到付款条件起30日，支付合同总金额的20.00%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标的名称：内蒙古自治区医疗保障信息平台业务经办子系统及数据治理服务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21"/>
              </w:rPr>
              <w:t>（一）总体要求：</w:t>
            </w:r>
          </w:p>
          <w:p>
            <w:pPr>
              <w:pStyle w:val="null5"/>
              <w:spacing w:after="120"/>
              <w:ind w:left="420" w:firstLine="480"/>
              <w:jc w:val="both"/>
            </w:pPr>
            <w:r>
              <w:rPr>
                <w:rFonts w:ascii="仿宋_GB2312" w:hAnsi="仿宋_GB2312" w:cs="仿宋_GB2312" w:eastAsia="仿宋_GB2312"/>
                <w:sz w:val="21"/>
              </w:rPr>
              <w:t>1、项目原则</w:t>
            </w:r>
          </w:p>
          <w:p>
            <w:pPr>
              <w:pStyle w:val="null5"/>
              <w:ind w:firstLine="480"/>
              <w:jc w:val="both"/>
            </w:pPr>
            <w:r>
              <w:rPr>
                <w:rFonts w:ascii="仿宋_GB2312" w:hAnsi="仿宋_GB2312" w:cs="仿宋_GB2312" w:eastAsia="仿宋_GB2312"/>
                <w:sz w:val="21"/>
              </w:rPr>
              <w:t>本项目应该遵循以下原则：</w:t>
            </w:r>
          </w:p>
          <w:p>
            <w:pPr>
              <w:pStyle w:val="null5"/>
              <w:ind w:firstLine="480"/>
              <w:jc w:val="both"/>
            </w:pPr>
            <w:r>
              <w:rPr>
                <w:rFonts w:ascii="仿宋_GB2312" w:hAnsi="仿宋_GB2312" w:cs="仿宋_GB2312" w:eastAsia="仿宋_GB2312"/>
                <w:sz w:val="21"/>
              </w:rPr>
              <w:t>（1）可靠性原则：符合国家法律法规要求，软件运维服务必须确保系统的稳定运行和高可用性，通过设计详尽的可靠性方案、定期巡检、备份与恢复策略，预防系统故障发生，减少业务中断时间，满足用户业务需求，避免安全漏洞和隐患，做好用户隐私的保护和防泄漏。</w:t>
            </w:r>
          </w:p>
          <w:p>
            <w:pPr>
              <w:pStyle w:val="null5"/>
              <w:ind w:firstLine="480"/>
              <w:jc w:val="both"/>
            </w:pPr>
            <w:r>
              <w:rPr>
                <w:rFonts w:ascii="仿宋_GB2312" w:hAnsi="仿宋_GB2312" w:cs="仿宋_GB2312" w:eastAsia="仿宋_GB2312"/>
                <w:sz w:val="21"/>
              </w:rPr>
              <w:t>（2）标准性原则：软件运维服务要遵循行业标准、最佳实践、标准化，自动化，持续改进等标准性原则，从而高效地管理和交付IT服务，并确保服务质量和效率。</w:t>
            </w:r>
          </w:p>
          <w:p>
            <w:pPr>
              <w:pStyle w:val="null5"/>
              <w:ind w:firstLine="480"/>
              <w:jc w:val="both"/>
            </w:pPr>
            <w:r>
              <w:rPr>
                <w:rFonts w:ascii="仿宋_GB2312" w:hAnsi="仿宋_GB2312" w:cs="仿宋_GB2312" w:eastAsia="仿宋_GB2312"/>
                <w:sz w:val="21"/>
              </w:rPr>
              <w:t>（3）经济性原则：在满足业务需求和达到项目目标的前提下，有效控制软件运维服务成本，力求以最小的投入获得最大的产出，通过自动化运维工具等先进手段，提高资源利用率，降低运维成本。</w:t>
            </w:r>
          </w:p>
          <w:p>
            <w:pPr>
              <w:pStyle w:val="null5"/>
              <w:jc w:val="both"/>
            </w:pPr>
            <w:r>
              <w:rPr>
                <w:rFonts w:ascii="仿宋_GB2312" w:hAnsi="仿宋_GB2312" w:cs="仿宋_GB2312" w:eastAsia="仿宋_GB2312"/>
                <w:sz w:val="21"/>
              </w:rPr>
              <w:t>2、标准规范</w:t>
            </w:r>
          </w:p>
          <w:p>
            <w:pPr>
              <w:pStyle w:val="null5"/>
              <w:ind w:firstLine="480"/>
              <w:jc w:val="both"/>
            </w:pPr>
            <w:r>
              <w:rPr>
                <w:rFonts w:ascii="仿宋_GB2312" w:hAnsi="仿宋_GB2312" w:cs="仿宋_GB2312" w:eastAsia="仿宋_GB2312"/>
                <w:sz w:val="21"/>
              </w:rPr>
              <w:t>本项目应遵循相关的标准规范，包括但不限于：</w:t>
            </w:r>
          </w:p>
          <w:p>
            <w:pPr>
              <w:pStyle w:val="null5"/>
              <w:jc w:val="both"/>
            </w:pPr>
            <w:r>
              <w:rPr>
                <w:rFonts w:ascii="仿宋_GB2312" w:hAnsi="仿宋_GB2312" w:cs="仿宋_GB2312" w:eastAsia="仿宋_GB2312"/>
                <w:sz w:val="21"/>
              </w:rPr>
              <w:t>（1）《医疗保障信息平台建设指南》；</w:t>
            </w:r>
          </w:p>
          <w:p>
            <w:pPr>
              <w:pStyle w:val="null5"/>
              <w:jc w:val="both"/>
            </w:pPr>
            <w:r>
              <w:rPr>
                <w:rFonts w:ascii="仿宋_GB2312" w:hAnsi="仿宋_GB2312" w:cs="仿宋_GB2312" w:eastAsia="仿宋_GB2312"/>
                <w:sz w:val="21"/>
              </w:rPr>
              <w:t>（2）《医疗保障信息平台应用系统技术架构规范》（XJ-B01-2019）；</w:t>
            </w:r>
          </w:p>
          <w:p>
            <w:pPr>
              <w:pStyle w:val="null5"/>
              <w:jc w:val="both"/>
            </w:pPr>
            <w:r>
              <w:rPr>
                <w:rFonts w:ascii="仿宋_GB2312" w:hAnsi="仿宋_GB2312" w:cs="仿宋_GB2312" w:eastAsia="仿宋_GB2312"/>
                <w:sz w:val="21"/>
              </w:rPr>
              <w:t>（3）《医疗保障信息系统安全开发规范》（XJ-AQTY.01-2019）；</w:t>
            </w:r>
          </w:p>
          <w:p>
            <w:pPr>
              <w:pStyle w:val="null5"/>
              <w:jc w:val="both"/>
            </w:pPr>
            <w:r>
              <w:rPr>
                <w:rFonts w:ascii="仿宋_GB2312" w:hAnsi="仿宋_GB2312" w:cs="仿宋_GB2312" w:eastAsia="仿宋_GB2312"/>
                <w:sz w:val="21"/>
              </w:rPr>
              <w:t>（4）《医疗保障信息平台用户界面规范 第1部分 PC端用户界面规范》（XJ-C01.1-2019）；</w:t>
            </w:r>
          </w:p>
          <w:p>
            <w:pPr>
              <w:pStyle w:val="null5"/>
              <w:jc w:val="both"/>
            </w:pPr>
            <w:r>
              <w:rPr>
                <w:rFonts w:ascii="仿宋_GB2312" w:hAnsi="仿宋_GB2312" w:cs="仿宋_GB2312" w:eastAsia="仿宋_GB2312"/>
                <w:sz w:val="21"/>
              </w:rPr>
              <w:t>（5）《医疗保障信息平台用户界面规范》（XJ-C01-2019）；</w:t>
            </w:r>
          </w:p>
          <w:p>
            <w:pPr>
              <w:pStyle w:val="null5"/>
              <w:jc w:val="both"/>
            </w:pPr>
            <w:r>
              <w:rPr>
                <w:rFonts w:ascii="仿宋_GB2312" w:hAnsi="仿宋_GB2312" w:cs="仿宋_GB2312" w:eastAsia="仿宋_GB2312"/>
                <w:sz w:val="21"/>
              </w:rPr>
              <w:t>（6）《医疗保障信息平台通用术语规范V1.0》</w:t>
            </w:r>
            <w:r>
              <w:rPr>
                <w:rFonts w:ascii="仿宋_GB2312" w:hAnsi="仿宋_GB2312" w:cs="仿宋_GB2312" w:eastAsia="仿宋_GB2312"/>
                <w:sz w:val="21"/>
              </w:rPr>
              <w:t>YB-ZT-T02-2020；</w:t>
            </w:r>
          </w:p>
          <w:p>
            <w:pPr>
              <w:pStyle w:val="null5"/>
              <w:jc w:val="both"/>
            </w:pPr>
            <w:r>
              <w:rPr>
                <w:rFonts w:ascii="仿宋_GB2312" w:hAnsi="仿宋_GB2312" w:cs="仿宋_GB2312" w:eastAsia="仿宋_GB2312"/>
                <w:sz w:val="21"/>
              </w:rPr>
              <w:t>（7）《医疗保障信息平台医疗服务价格管理业务流程规范V1.0》YB-ZT-T02-2020；</w:t>
            </w:r>
          </w:p>
          <w:p>
            <w:pPr>
              <w:pStyle w:val="null5"/>
              <w:jc w:val="both"/>
            </w:pPr>
            <w:r>
              <w:rPr>
                <w:rFonts w:ascii="仿宋_GB2312" w:hAnsi="仿宋_GB2312" w:cs="仿宋_GB2312" w:eastAsia="仿宋_GB2312"/>
                <w:sz w:val="21"/>
              </w:rPr>
              <w:t>（8）《医疗保障信息平台支付方式管理业务流程规范V1.0》YB-YW-L04-2020；</w:t>
            </w:r>
          </w:p>
          <w:p>
            <w:pPr>
              <w:pStyle w:val="null5"/>
              <w:jc w:val="both"/>
            </w:pPr>
            <w:r>
              <w:rPr>
                <w:rFonts w:ascii="仿宋_GB2312" w:hAnsi="仿宋_GB2312" w:cs="仿宋_GB2312" w:eastAsia="仿宋_GB2312"/>
                <w:sz w:val="21"/>
              </w:rPr>
              <w:t>（9）《医疗保障信息平台数据库设计规范V1.0》YB-XJ-E01-2020；</w:t>
            </w:r>
          </w:p>
          <w:p>
            <w:pPr>
              <w:pStyle w:val="null5"/>
              <w:jc w:val="both"/>
            </w:pPr>
            <w:r>
              <w:rPr>
                <w:rFonts w:ascii="仿宋_GB2312" w:hAnsi="仿宋_GB2312" w:cs="仿宋_GB2312" w:eastAsia="仿宋_GB2312"/>
                <w:sz w:val="21"/>
              </w:rPr>
              <w:t>（10）《医疗保障信息平台用户交互设计规范 第1部分 内部统一门户分册V1.0》YB-XJ-C02.1-2020；</w:t>
            </w:r>
          </w:p>
          <w:p>
            <w:pPr>
              <w:pStyle w:val="null5"/>
              <w:jc w:val="both"/>
            </w:pPr>
            <w:r>
              <w:rPr>
                <w:rFonts w:ascii="仿宋_GB2312" w:hAnsi="仿宋_GB2312" w:cs="仿宋_GB2312" w:eastAsia="仿宋_GB2312"/>
                <w:sz w:val="21"/>
              </w:rPr>
              <w:t>（11）《医疗保障信息平台应用系统测试过程管理规范V1.0》YB-XJ-H01-2020；</w:t>
            </w:r>
          </w:p>
          <w:p>
            <w:pPr>
              <w:pStyle w:val="null5"/>
              <w:jc w:val="both"/>
            </w:pPr>
            <w:r>
              <w:rPr>
                <w:rFonts w:ascii="仿宋_GB2312" w:hAnsi="仿宋_GB2312" w:cs="仿宋_GB2312" w:eastAsia="仿宋_GB2312"/>
                <w:sz w:val="21"/>
              </w:rPr>
              <w:t>（12）《医疗保障信息平台医保区划编码规范V1.0》YB-ZT-T03-2020；</w:t>
            </w:r>
          </w:p>
          <w:p>
            <w:pPr>
              <w:pStyle w:val="null5"/>
              <w:jc w:val="both"/>
            </w:pPr>
            <w:r>
              <w:rPr>
                <w:rFonts w:ascii="仿宋_GB2312" w:hAnsi="仿宋_GB2312" w:cs="仿宋_GB2312" w:eastAsia="仿宋_GB2312"/>
                <w:sz w:val="21"/>
              </w:rPr>
              <w:t>（13）《医疗保障信息平台业务中台应用规范》XJ-F01-2020；</w:t>
            </w:r>
          </w:p>
          <w:p>
            <w:pPr>
              <w:pStyle w:val="null5"/>
              <w:jc w:val="both"/>
            </w:pPr>
            <w:r>
              <w:rPr>
                <w:rFonts w:ascii="仿宋_GB2312" w:hAnsi="仿宋_GB2312" w:cs="仿宋_GB2312" w:eastAsia="仿宋_GB2312"/>
                <w:sz w:val="21"/>
              </w:rPr>
              <w:t>（14）《医疗保障信息平台数据中台建设及应用指南》XJ-F02-2020；</w:t>
            </w:r>
          </w:p>
          <w:p>
            <w:pPr>
              <w:pStyle w:val="null5"/>
              <w:jc w:val="both"/>
            </w:pPr>
            <w:r>
              <w:rPr>
                <w:rFonts w:ascii="仿宋_GB2312" w:hAnsi="仿宋_GB2312" w:cs="仿宋_GB2312" w:eastAsia="仿宋_GB2312"/>
                <w:sz w:val="21"/>
              </w:rPr>
              <w:t>（15）《医疗保障信息平台数据归集技术规范》XJ-K02-2020；</w:t>
            </w:r>
          </w:p>
          <w:p>
            <w:pPr>
              <w:pStyle w:val="null5"/>
              <w:spacing w:after="120"/>
              <w:ind w:left="420" w:firstLine="480"/>
              <w:jc w:val="both"/>
            </w:pPr>
            <w:r>
              <w:rPr>
                <w:rFonts w:ascii="仿宋_GB2312" w:hAnsi="仿宋_GB2312" w:cs="仿宋_GB2312" w:eastAsia="仿宋_GB2312"/>
                <w:sz w:val="21"/>
              </w:rPr>
              <w:t>3.服务内容</w:t>
            </w:r>
          </w:p>
          <w:p>
            <w:pPr>
              <w:pStyle w:val="null5"/>
              <w:ind w:firstLine="480"/>
              <w:jc w:val="both"/>
            </w:pPr>
            <w:r>
              <w:rPr>
                <w:rFonts w:ascii="仿宋_GB2312" w:hAnsi="仿宋_GB2312" w:cs="仿宋_GB2312" w:eastAsia="仿宋_GB2312"/>
                <w:sz w:val="21"/>
              </w:rPr>
              <w:t>负责内蒙古自治区医保信息平台业务经办子系统及数据治理运维工作。本项目服务内容包括：日常业务巡检工作，及时解决系统运行过程中的问题，保障各子系统稳定运行；系统功能完善和政策调整类工作，保障全区医保业务经办顺利开展；各项数据查询、统计和提取相关工作，保障盟市各项数据工作的推进；全区业务培训相关工作，保障盟市经办人员业务全面精准掌握；全区医保业务数据归集、比对、质量和治理工作；数据标准、数据元、数据服务和数据安全工作，保证医保数据准确、标准、有效、安全。</w:t>
            </w:r>
          </w:p>
          <w:p>
            <w:pPr>
              <w:pStyle w:val="null5"/>
              <w:ind w:left="720"/>
              <w:jc w:val="left"/>
            </w:pPr>
            <w:r>
              <w:rPr>
                <w:rFonts w:ascii="仿宋_GB2312" w:hAnsi="仿宋_GB2312" w:cs="仿宋_GB2312" w:eastAsia="仿宋_GB2312"/>
                <w:sz w:val="21"/>
              </w:rPr>
              <w:t>3.1内蒙古自治区医疗保障信息平台业务经办子系统运行维护服务</w:t>
            </w:r>
          </w:p>
          <w:p>
            <w:pPr>
              <w:pStyle w:val="null5"/>
              <w:ind w:firstLine="480"/>
              <w:jc w:val="both"/>
            </w:pPr>
            <w:r>
              <w:rPr>
                <w:rFonts w:ascii="仿宋_GB2312" w:hAnsi="仿宋_GB2312" w:cs="仿宋_GB2312" w:eastAsia="仿宋_GB2312"/>
                <w:sz w:val="21"/>
              </w:rPr>
              <w:t>业务经办子业务系统需求问题处理，数据查询、统计、转换、提取等需求处理，全区医疗机构DIP清算问题处理，全区各盟市医保政策新增和变更，系统功能优化和新增程序开发工作，对外接口开发和优化工作，系统版本升级工作，国家中台版本升级工作，全区各盟市业务系统巡检工作，全区各盟市业务培训工作，巡检工作，升级工作，7*24小时维护电话服务。</w:t>
            </w:r>
          </w:p>
          <w:p>
            <w:pPr>
              <w:pStyle w:val="null5"/>
              <w:ind w:left="720"/>
              <w:jc w:val="left"/>
            </w:pPr>
            <w:r>
              <w:rPr>
                <w:rFonts w:ascii="仿宋_GB2312" w:hAnsi="仿宋_GB2312" w:cs="仿宋_GB2312" w:eastAsia="仿宋_GB2312"/>
                <w:sz w:val="21"/>
              </w:rPr>
              <w:t>3.2内蒙古自治区医疗保障信息平台数据治理运行维护服务</w:t>
            </w:r>
          </w:p>
          <w:p>
            <w:pPr>
              <w:pStyle w:val="null5"/>
              <w:ind w:firstLine="480"/>
              <w:jc w:val="both"/>
            </w:pPr>
            <w:r>
              <w:rPr>
                <w:rFonts w:ascii="仿宋_GB2312" w:hAnsi="仿宋_GB2312" w:cs="仿宋_GB2312" w:eastAsia="仿宋_GB2312"/>
                <w:sz w:val="21"/>
              </w:rPr>
              <w:t>数据标准管理，元数据管理，数据质量管理，数据集成管理，数据比对管理，数据安全管理，数据服务，数据治理，数据应用。</w:t>
            </w:r>
          </w:p>
          <w:p>
            <w:pPr>
              <w:pStyle w:val="null5"/>
              <w:ind w:firstLine="480"/>
              <w:jc w:val="both"/>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21"/>
              </w:rPr>
              <w:t>（二）</w:t>
            </w:r>
            <w:r>
              <w:rPr>
                <w:rFonts w:ascii="仿宋_GB2312" w:hAnsi="仿宋_GB2312" w:cs="仿宋_GB2312" w:eastAsia="仿宋_GB2312"/>
                <w:sz w:val="21"/>
              </w:rPr>
              <w:t>具体服务要求：</w:t>
            </w:r>
          </w:p>
          <w:p>
            <w:pPr>
              <w:pStyle w:val="null5"/>
              <w:jc w:val="both"/>
            </w:pPr>
            <w:r>
              <w:rPr>
                <w:rFonts w:ascii="仿宋_GB2312" w:hAnsi="仿宋_GB2312" w:cs="仿宋_GB2312" w:eastAsia="仿宋_GB2312"/>
                <w:sz w:val="21"/>
              </w:rPr>
              <w:t>1.1 内蒙古自治区医疗保障信息平台业务经办子系统运行维护服务</w:t>
            </w:r>
          </w:p>
          <w:p>
            <w:pPr>
              <w:pStyle w:val="null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00"/>
              <w:gridCol w:w="643"/>
              <w:gridCol w:w="1641"/>
              <w:gridCol w:w="68"/>
            </w:tblGrid>
            <w:tr>
              <w:tc>
                <w:tcPr>
                  <w:tcW w:type="dxa" w:w="200"/>
                  <w:vMerge w:val="restart"/>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序号</w:t>
                  </w:r>
                </w:p>
              </w:tc>
              <w:tc>
                <w:tcPr>
                  <w:tcW w:type="dxa" w:w="643"/>
                  <w:vMerge w:val="restart"/>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服务内容</w:t>
                  </w:r>
                </w:p>
              </w:tc>
              <w:tc>
                <w:tcPr>
                  <w:tcW w:type="dxa" w:w="1641"/>
                  <w:vMerge w:val="restart"/>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技术要求</w:t>
                  </w:r>
                </w:p>
              </w:tc>
            </w:tr>
            <w:tr>
              <w:tc>
                <w:tcPr>
                  <w:tcW w:type="dxa" w:w="200"/>
                  <w:vMerge/>
                  <w:tcBorders>
                    <w:top w:val="none" w:color="000000" w:sz="4"/>
                    <w:left w:val="single" w:color="000000" w:sz="4"/>
                    <w:bottom w:val="single" w:color="000000" w:sz="4"/>
                    <w:right w:val="single" w:color="000000" w:sz="4"/>
                  </w:tcBorders>
                </w:tcPr>
                <w:p/>
              </w:tc>
              <w:tc>
                <w:tcPr>
                  <w:tcW w:type="dxa" w:w="643"/>
                  <w:vMerge/>
                  <w:tcBorders>
                    <w:top w:val="none" w:color="000000" w:sz="4"/>
                    <w:left w:val="none" w:color="000000" w:sz="4"/>
                    <w:bottom w:val="single" w:color="000000" w:sz="4"/>
                    <w:right w:val="single" w:color="000000" w:sz="4"/>
                  </w:tcBorders>
                </w:tcPr>
                <w:p/>
              </w:tc>
              <w:tc>
                <w:tcPr>
                  <w:tcW w:type="dxa" w:w="1641"/>
                  <w:vMerge/>
                  <w:tcBorders>
                    <w:top w:val="none" w:color="000000" w:sz="4"/>
                    <w:left w:val="none" w:color="000000" w:sz="4"/>
                    <w:bottom w:val="single" w:color="000000" w:sz="4"/>
                    <w:right w:val="single" w:color="000000" w:sz="4"/>
                  </w:tcBorders>
                </w:tcP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医保业务经办子系统需求问题处理</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各盟市医保经办人员,通过自治区统一需求管理平台,提交咨询类 、故障类和查询类等医保问题 ,经过自治区统一审批之后 ,由运维工程师进行解决。并对问题的处理过程进行跟踪和管理，包括问题的识别、提交、分析、处理、升级、解决、结束等。</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数据查询、统计、转换、提取等需求处理</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为自治区医疗保障局各业务处室、全区各盟市各级行政及经办工作人员提取统计数据信息（除系统已有统计功能外），配合自治区其他厅局提取必要的数据信息。数据类型按照不同口径，包括但不限于：飞检数据提取、居民按季度大病数据统计、为各盟市测算数据、各类结算数据等。</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全区医疗机构DIP清算问题处理</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解决通过自治区统一的需求管理平台上报的数据维护类和需求类的问题，按盟市划分建立专项运维工作群，合理安排专业人员负责处理各级医疗机构提出的结算清单等问题，指派专人负责跟进问题处理进度，保证问题解决质量与时效性。</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全区各盟市医保政策新增和变更</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当国家、自治区、盟市医保政策发生新增或变更时，按照统一要求，对决策树、决策表、支付方式等功能完成政策参数的配置、测试、上线等工作。包括但不限于：基数核定规则、退休参数、核定参数、医疗待遇计算、医疗待遇享受检查等内容。</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业务经办子系统功能优化和新增程序开发工作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全区各盟市根据业务开展迫切需要,针对参保业务、待遇业务、征缴业务、账户转移业务、共济业务、结算业务、异地业务等方面,在现有自治区医保信息平台基础上，提出个性化功能新增、功能调整、流程变更等诉求。由自治区按照各盟市的共性查询需求，结合现有业务数据统计的实际情况，在征求自治区大数据中心同意后，统一安排相关模块的定制化开发与调试上线任务。</w:t>
                  </w:r>
                  <w:r>
                    <w:br/>
                  </w:r>
                  <w:r>
                    <w:rPr>
                      <w:rFonts w:ascii="仿宋_GB2312" w:hAnsi="仿宋_GB2312" w:cs="仿宋_GB2312" w:eastAsia="仿宋_GB2312"/>
                      <w:sz w:val="21"/>
                    </w:rPr>
                    <w:t xml:space="preserve"> 同时，在新功能使用过程中，应及时整理各盟市反馈意见，对搜集到的新增、调整、使用等问题，及时进行处理与优化，并做好维护记录和备份，便于紧急情况下的回退与追溯操作。</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业务经办子系统对外接口开发和优化工作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维护管理业务经办子系统对外部提供接口，通过医疗信息外部接口规范，实现医保业务管理服务过程中信息交换、服务调用和交易申请的统一接入，提供服务注册、服务鉴权、身份认证、服务路由、服务日志监控等接口统一管理能力，为其他相关行业提供接口接入标准，最大限度地实现医保与税务部门、金融、两定医药机构、人社部门、财政部门等外部单位的无缝对接。</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业务经办子系统版本升级工作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按照国家局最新下发的医疗保障信息平台基础版本，以及各类业务需求开发完成情况，每周对省统一应用系统进行迭代升级，版本统一管理，具体包括版本发布申请、版本测试、版本发布审批、版本发布回退等。</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国家中台版本升级工作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及时完成国家局下发的各管理中台（包括：统一门户、内部控制、支付方式、医疗服务价格 、基础信息、基本信息、用户中心、认证中心、政策中心 、参保中心、征缴中心、结算中心、分组付费等 ）版本更新工作，及时更新记录和备案，确保现行中台与国家最新版本一致；</w:t>
                  </w:r>
                  <w:r>
                    <w:br/>
                  </w:r>
                  <w:r>
                    <w:rPr>
                      <w:rFonts w:ascii="仿宋_GB2312" w:hAnsi="仿宋_GB2312" w:cs="仿宋_GB2312" w:eastAsia="仿宋_GB2312"/>
                      <w:sz w:val="21"/>
                    </w:rPr>
                    <w:t xml:space="preserve"> 及时按照国家下发的数据库脚本，对本地数据库进行更新，确保数据完整，确保现行数据库与与国家版本保持一致，更新环境包括：测试环境和正式环境。</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9</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全区各盟市业务系统巡检工作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每年提供一次全区各盟市现场巡检服务,巡检内容包括：当前业务系统经办问题搜集、盟市旧政策执行情况分析、盟市新政策执行方向和落地情况搜集、业务经办系统优化方向搜集、盟市下一步工作重点信息搜集、现存问题集中解决等工作。</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全区各盟市业务培训工作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每年为各盟市提供2次培训服务,培训内容包括：现行自治区医保信息平台功能操作、公共业务讲解、医疗待遇业务讲解、DIP业务讲解、国家局下发最新功能讲解、自治区重点专项业务讲解、信息化建议交流、其他类型座谈会交流等。</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业务服务巡检工作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提供自治区医保信息平台业务服务每日巡检工作，巡检范围包括：A中心、B中心。巡检内容包括：业务系统功能界面运行状态;服务器业务相关CPU、内存、磁盘空间使用情况、负载节点状态、负载节点连接数情况等。</w:t>
                  </w:r>
                  <w:r>
                    <w:br/>
                  </w:r>
                  <w:r>
                    <w:rPr>
                      <w:rFonts w:ascii="仿宋_GB2312" w:hAnsi="仿宋_GB2312" w:cs="仿宋_GB2312" w:eastAsia="仿宋_GB2312"/>
                      <w:sz w:val="21"/>
                    </w:rPr>
                    <w:t xml:space="preserve"> 运维团队对巡检工作应提前做好排班计划，指派的巡检人员应在每次巡检后认真做好记录，针对发现的问题应及时上报自治区大数据中心，并积极配合对应团队分析、排查、解决故障问题。</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12</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云平台升级工作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配合云平台进行版本升级工作，针对数据库异常、Redis异常等常见故障问题，配合云平台及时修复和数据恢复。</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13</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7*24小时维护电话服务。</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21"/>
                    </w:rPr>
                    <w:t>为保障全区医保业务开展，确保群众医保业务正常办理，运维团队应为各盟市配置专业的运维人员，面向全区医保经办机构工作人员提供7*24小时电话咨询服务，提供包括：系统操作指导、业务咨询、需求确认、问题沟通等服务内容。</w:t>
                  </w:r>
                </w:p>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19"/>
                    </w:rPr>
                    <w:t xml:space="preserve"> </w:t>
                  </w: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p>
              </w:tc>
            </w:tr>
          </w:tbl>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spacing w:after="120"/>
              <w:jc w:val="left"/>
            </w:pPr>
            <w:r>
              <w:rPr>
                <w:rFonts w:ascii="仿宋_GB2312" w:hAnsi="仿宋_GB2312" w:cs="仿宋_GB2312" w:eastAsia="仿宋_GB2312"/>
              </w:rPr>
              <w:t xml:space="preserve"> </w:t>
            </w:r>
          </w:p>
          <w:p>
            <w:pPr>
              <w:pStyle w:val="null5"/>
              <w:spacing w:after="120"/>
              <w:jc w:val="left"/>
            </w:pPr>
            <w:r>
              <w:rPr>
                <w:rFonts w:ascii="仿宋_GB2312" w:hAnsi="仿宋_GB2312" w:cs="仿宋_GB2312" w:eastAsia="仿宋_GB2312"/>
                <w:sz w:val="21"/>
              </w:rPr>
              <w:t>1.2 内蒙古自治区医疗保障信息平台数据治理运行维护服务</w:t>
            </w:r>
          </w:p>
          <w:p>
            <w:pPr>
              <w:pStyle w:val="null5"/>
              <w:spacing w:after="120"/>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16"/>
              <w:gridCol w:w="611"/>
              <w:gridCol w:w="1725"/>
            </w:tblGrid>
            <w:tr>
              <w:tc>
                <w:tcPr>
                  <w:tcW w:type="dxa" w:w="21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序号</w:t>
                  </w:r>
                </w:p>
              </w:tc>
              <w:tc>
                <w:tcPr>
                  <w:tcW w:type="dxa" w:w="611"/>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服务内容</w:t>
                  </w:r>
                </w:p>
              </w:tc>
              <w:tc>
                <w:tcPr>
                  <w:tcW w:type="dxa" w:w="172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技术要求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1</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数据标准管理</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left"/>
                  </w:pPr>
                  <w:r>
                    <w:rPr>
                      <w:rFonts w:ascii="仿宋_GB2312" w:hAnsi="仿宋_GB2312" w:cs="仿宋_GB2312" w:eastAsia="仿宋_GB2312"/>
                      <w:sz w:val="19"/>
                    </w:rPr>
                    <w:t xml:space="preserve"> </w:t>
                  </w:r>
                </w:p>
                <w:p>
                  <w:pPr>
                    <w:pStyle w:val="null5"/>
                    <w:spacing w:after="120"/>
                    <w:jc w:val="left"/>
                  </w:pPr>
                  <w:r>
                    <w:rPr>
                      <w:rFonts w:ascii="仿宋_GB2312" w:hAnsi="仿宋_GB2312" w:cs="仿宋_GB2312" w:eastAsia="仿宋_GB2312"/>
                      <w:sz w:val="21"/>
                    </w:rPr>
                    <w:t>依据国家医保局下发的《医疗保障信息平台数据归集交换库设计说明书》，不定期调整数据标准。通过信息化手段对数据标准进行集中、统一管理，能够提供数据标准的制定、发布、落地、跟踪校验、变更和废弃等全生命周期的数据标准管理，便于推动数据标准的落地执行，可以更有效的保障数据的可信和可用。</w:t>
                  </w:r>
                  <w:r>
                    <w:br/>
                  </w:r>
                  <w:r>
                    <w:rPr>
                      <w:rFonts w:ascii="仿宋_GB2312" w:hAnsi="仿宋_GB2312" w:cs="仿宋_GB2312" w:eastAsia="仿宋_GB2312"/>
                      <w:sz w:val="21"/>
                    </w:rPr>
                    <w:t xml:space="preserve"> 全面提升数据质量、实现数据规范化，为医保业务数据制定统一的标准和规范，建立共用的、标准的数据定义，其中包括数据编码标准、数据属性标准等，保证数据治理过程中数据的唯一性、正确性、统一性及可重用性。</w:t>
                  </w:r>
                </w:p>
                <w:p>
                  <w:pPr>
                    <w:pStyle w:val="null5"/>
                    <w:spacing w:after="120"/>
                    <w:jc w:val="left"/>
                  </w:pPr>
                  <w:r>
                    <w:rPr>
                      <w:rFonts w:ascii="仿宋_GB2312" w:hAnsi="仿宋_GB2312" w:cs="仿宋_GB2312" w:eastAsia="仿宋_GB2312"/>
                      <w:sz w:val="19"/>
                    </w:rPr>
                    <w:t xml:space="preserve">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2</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元数据管理</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left"/>
                  </w:pPr>
                  <w:r>
                    <w:rPr>
                      <w:rFonts w:ascii="仿宋_GB2312" w:hAnsi="仿宋_GB2312" w:cs="仿宋_GB2312" w:eastAsia="仿宋_GB2312"/>
                      <w:sz w:val="19"/>
                    </w:rPr>
                    <w:t xml:space="preserve"> </w:t>
                  </w:r>
                </w:p>
                <w:p>
                  <w:pPr>
                    <w:pStyle w:val="null5"/>
                    <w:spacing w:after="120"/>
                    <w:jc w:val="left"/>
                  </w:pPr>
                  <w:r>
                    <w:rPr>
                      <w:rFonts w:ascii="仿宋_GB2312" w:hAnsi="仿宋_GB2312" w:cs="仿宋_GB2312" w:eastAsia="仿宋_GB2312"/>
                      <w:sz w:val="21"/>
                    </w:rPr>
                    <w:t>负责对现行医保信息平台中数据资源的元数据管理，包括：资源目录、资源分类、数据项类型、数据项长度、数据项权限等信息。</w:t>
                  </w:r>
                </w:p>
                <w:p>
                  <w:pPr>
                    <w:pStyle w:val="null5"/>
                    <w:spacing w:after="120"/>
                    <w:jc w:val="left"/>
                  </w:pPr>
                  <w:r>
                    <w:rPr>
                      <w:rFonts w:ascii="仿宋_GB2312" w:hAnsi="仿宋_GB2312" w:cs="仿宋_GB2312" w:eastAsia="仿宋_GB2312"/>
                      <w:sz w:val="19"/>
                    </w:rPr>
                    <w:t xml:space="preserve">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3</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数据质量管理</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left"/>
                  </w:pPr>
                  <w:r>
                    <w:rPr>
                      <w:rFonts w:ascii="仿宋_GB2312" w:hAnsi="仿宋_GB2312" w:cs="仿宋_GB2312" w:eastAsia="仿宋_GB2312"/>
                      <w:sz w:val="19"/>
                    </w:rPr>
                    <w:t xml:space="preserve"> </w:t>
                  </w:r>
                </w:p>
                <w:p>
                  <w:pPr>
                    <w:pStyle w:val="null5"/>
                    <w:spacing w:after="120"/>
                    <w:jc w:val="left"/>
                  </w:pPr>
                  <w:r>
                    <w:rPr>
                      <w:rFonts w:ascii="仿宋_GB2312" w:hAnsi="仿宋_GB2312" w:cs="仿宋_GB2312" w:eastAsia="仿宋_GB2312"/>
                      <w:sz w:val="21"/>
                    </w:rPr>
                    <w:t>提供常态化、体系化、标准化、自动化的数据质量管理服务，以达到数据质量管理的全面性、可控性、可度量性、可迅速定位和有效解决问题的目标。根据自治区医保局管理部门统一要求的业务规则和逻辑，利用质量校验模型对原始业务数据进行检查，并输出质量检查报告，为自治区医保业务人员提供报告解读，配合及时修正数据问题。</w:t>
                  </w:r>
                </w:p>
                <w:p>
                  <w:pPr>
                    <w:pStyle w:val="null5"/>
                    <w:spacing w:after="120"/>
                    <w:jc w:val="left"/>
                  </w:pPr>
                  <w:r>
                    <w:rPr>
                      <w:rFonts w:ascii="仿宋_GB2312" w:hAnsi="仿宋_GB2312" w:cs="仿宋_GB2312" w:eastAsia="仿宋_GB2312"/>
                      <w:sz w:val="19"/>
                    </w:rPr>
                    <w:t xml:space="preserve">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4</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数据集成管理</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left"/>
                  </w:pPr>
                  <w:r>
                    <w:rPr>
                      <w:rFonts w:ascii="仿宋_GB2312" w:hAnsi="仿宋_GB2312" w:cs="仿宋_GB2312" w:eastAsia="仿宋_GB2312"/>
                      <w:sz w:val="19"/>
                    </w:rPr>
                    <w:t xml:space="preserve"> </w:t>
                  </w:r>
                </w:p>
                <w:p>
                  <w:pPr>
                    <w:pStyle w:val="null5"/>
                    <w:spacing w:after="120"/>
                    <w:jc w:val="left"/>
                  </w:pPr>
                  <w:r>
                    <w:rPr>
                      <w:rFonts w:ascii="仿宋_GB2312" w:hAnsi="仿宋_GB2312" w:cs="仿宋_GB2312" w:eastAsia="仿宋_GB2312"/>
                      <w:sz w:val="21"/>
                    </w:rPr>
                    <w:t>为数据中台提供数据集成与传输的能力，包括与上、下级部门进行数据集成的能力，与自治区其他委办局间的数据集成能力。</w:t>
                  </w:r>
                  <w:r>
                    <w:br/>
                  </w:r>
                  <w:r>
                    <w:rPr>
                      <w:rFonts w:ascii="仿宋_GB2312" w:hAnsi="仿宋_GB2312" w:cs="仿宋_GB2312" w:eastAsia="仿宋_GB2312"/>
                      <w:sz w:val="21"/>
                    </w:rPr>
                    <w:t xml:space="preserve"> 通过数据集成平台，定期抽取自治区医保信息平台增量生产数据，并对抽取的数据进行治理，保障数据质量，将治理后的数据同步至交换库，供国家局医保信息平台抽取采集。</w:t>
                  </w:r>
                </w:p>
                <w:p>
                  <w:pPr>
                    <w:pStyle w:val="null5"/>
                    <w:spacing w:after="120"/>
                    <w:jc w:val="left"/>
                  </w:pPr>
                  <w:r>
                    <w:rPr>
                      <w:rFonts w:ascii="仿宋_GB2312" w:hAnsi="仿宋_GB2312" w:cs="仿宋_GB2312" w:eastAsia="仿宋_GB2312"/>
                      <w:sz w:val="19"/>
                    </w:rPr>
                    <w:t xml:space="preserve">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5</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数据比对管理</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left"/>
                  </w:pPr>
                  <w:r>
                    <w:rPr>
                      <w:rFonts w:ascii="仿宋_GB2312" w:hAnsi="仿宋_GB2312" w:cs="仿宋_GB2312" w:eastAsia="仿宋_GB2312"/>
                      <w:sz w:val="19"/>
                    </w:rPr>
                    <w:t xml:space="preserve"> </w:t>
                  </w:r>
                </w:p>
                <w:p>
                  <w:pPr>
                    <w:pStyle w:val="null5"/>
                    <w:spacing w:after="120"/>
                    <w:jc w:val="left"/>
                  </w:pPr>
                  <w:r>
                    <w:rPr>
                      <w:rFonts w:ascii="仿宋_GB2312" w:hAnsi="仿宋_GB2312" w:cs="仿宋_GB2312" w:eastAsia="仿宋_GB2312"/>
                      <w:sz w:val="21"/>
                    </w:rPr>
                    <w:t>每月完成1次对现行医保信息平台数据的比对，分析数据差异，根据自治区医保管理部门统一配置的比对规则完成数据一致性校验作业。针对从不同部门采集的数据，进行定期自动化检查，避免采集过程因为异构环境等问题导致不一致、漏采、丢失等故障的发生。</w:t>
                  </w:r>
                </w:p>
                <w:p>
                  <w:pPr>
                    <w:pStyle w:val="null5"/>
                    <w:spacing w:after="120"/>
                    <w:jc w:val="left"/>
                  </w:pPr>
                  <w:r>
                    <w:rPr>
                      <w:rFonts w:ascii="仿宋_GB2312" w:hAnsi="仿宋_GB2312" w:cs="仿宋_GB2312" w:eastAsia="仿宋_GB2312"/>
                      <w:sz w:val="19"/>
                    </w:rPr>
                    <w:t xml:space="preserve">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6</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数据安全管理</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left"/>
                  </w:pPr>
                  <w:r>
                    <w:rPr>
                      <w:rFonts w:ascii="仿宋_GB2312" w:hAnsi="仿宋_GB2312" w:cs="仿宋_GB2312" w:eastAsia="仿宋_GB2312"/>
                      <w:sz w:val="19"/>
                    </w:rPr>
                    <w:t xml:space="preserve"> </w:t>
                  </w:r>
                </w:p>
                <w:p>
                  <w:pPr>
                    <w:pStyle w:val="null5"/>
                    <w:spacing w:after="120"/>
                    <w:jc w:val="left"/>
                  </w:pPr>
                  <w:r>
                    <w:rPr>
                      <w:rFonts w:ascii="仿宋_GB2312" w:hAnsi="仿宋_GB2312" w:cs="仿宋_GB2312" w:eastAsia="仿宋_GB2312"/>
                      <w:sz w:val="21"/>
                    </w:rPr>
                    <w:t>基于现行数据中台，每月执行1次数据管理方面的安全策略与措施检查，检查范围包括账号可用性、账号权限、数据脱敏及数据加密，确保信息与数据资产的传输安全、存储安全、访问安全和应用安全，并输出数据自查报告。</w:t>
                  </w:r>
                </w:p>
                <w:p>
                  <w:pPr>
                    <w:pStyle w:val="null5"/>
                    <w:spacing w:after="120"/>
                    <w:jc w:val="left"/>
                  </w:pPr>
                  <w:r>
                    <w:rPr>
                      <w:rFonts w:ascii="仿宋_GB2312" w:hAnsi="仿宋_GB2312" w:cs="仿宋_GB2312" w:eastAsia="仿宋_GB2312"/>
                      <w:sz w:val="19"/>
                    </w:rPr>
                    <w:t xml:space="preserve">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7</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数据服务</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left"/>
                  </w:pPr>
                  <w:r>
                    <w:rPr>
                      <w:rFonts w:ascii="仿宋_GB2312" w:hAnsi="仿宋_GB2312" w:cs="仿宋_GB2312" w:eastAsia="仿宋_GB2312"/>
                      <w:sz w:val="19"/>
                    </w:rPr>
                    <w:t xml:space="preserve"> </w:t>
                  </w:r>
                </w:p>
                <w:p>
                  <w:pPr>
                    <w:pStyle w:val="null5"/>
                    <w:spacing w:after="120"/>
                    <w:jc w:val="left"/>
                  </w:pPr>
                  <w:r>
                    <w:rPr>
                      <w:rFonts w:ascii="仿宋_GB2312" w:hAnsi="仿宋_GB2312" w:cs="仿宋_GB2312" w:eastAsia="仿宋_GB2312"/>
                      <w:sz w:val="21"/>
                    </w:rPr>
                    <w:t>基于现行自治区医保信息平台的数据中台，提供面向外部应用的数据共享服务能力，对数据接口进行定期维护，包括API接口、数据库接口和文件接口，提供数据接口的巡检服务。</w:t>
                  </w:r>
                </w:p>
                <w:p>
                  <w:pPr>
                    <w:pStyle w:val="null5"/>
                    <w:spacing w:after="120"/>
                    <w:jc w:val="left"/>
                  </w:pPr>
                  <w:r>
                    <w:rPr>
                      <w:rFonts w:ascii="仿宋_GB2312" w:hAnsi="仿宋_GB2312" w:cs="仿宋_GB2312" w:eastAsia="仿宋_GB2312"/>
                      <w:sz w:val="19"/>
                    </w:rPr>
                    <w:t xml:space="preserve">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8</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数据治理</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left"/>
                  </w:pPr>
                  <w:r>
                    <w:rPr>
                      <w:rFonts w:ascii="仿宋_GB2312" w:hAnsi="仿宋_GB2312" w:cs="仿宋_GB2312" w:eastAsia="仿宋_GB2312"/>
                      <w:sz w:val="19"/>
                    </w:rPr>
                    <w:t xml:space="preserve"> </w:t>
                  </w:r>
                </w:p>
                <w:p>
                  <w:pPr>
                    <w:pStyle w:val="null5"/>
                    <w:spacing w:after="120"/>
                    <w:jc w:val="left"/>
                  </w:pPr>
                  <w:r>
                    <w:rPr>
                      <w:rFonts w:ascii="仿宋_GB2312" w:hAnsi="仿宋_GB2312" w:cs="仿宋_GB2312" w:eastAsia="仿宋_GB2312"/>
                      <w:sz w:val="21"/>
                    </w:rPr>
                    <w:t>基于现行自治区医保信息平台的数据中台，按照国家医保局数据归集文档变更要求对现有医保业务数据进行治理工作，提供包括数据安全、数据质量、元数据管理和数据标准在内的数据治理服务，并按每周、每月定期输出治理结果报告。</w:t>
                  </w:r>
                </w:p>
                <w:p>
                  <w:pPr>
                    <w:pStyle w:val="null5"/>
                    <w:spacing w:after="120"/>
                    <w:jc w:val="left"/>
                  </w:pPr>
                  <w:r>
                    <w:rPr>
                      <w:rFonts w:ascii="仿宋_GB2312" w:hAnsi="仿宋_GB2312" w:cs="仿宋_GB2312" w:eastAsia="仿宋_GB2312"/>
                      <w:sz w:val="19"/>
                    </w:rPr>
                    <w:t xml:space="preserve">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9</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center"/>
                  </w:pPr>
                  <w:r>
                    <w:rPr>
                      <w:rFonts w:ascii="仿宋_GB2312" w:hAnsi="仿宋_GB2312" w:cs="仿宋_GB2312" w:eastAsia="仿宋_GB2312"/>
                      <w:sz w:val="21"/>
                    </w:rPr>
                    <w:t>数据应用</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after="120"/>
                    <w:jc w:val="left"/>
                  </w:pPr>
                  <w:r>
                    <w:rPr>
                      <w:rFonts w:ascii="仿宋_GB2312" w:hAnsi="仿宋_GB2312" w:cs="仿宋_GB2312" w:eastAsia="仿宋_GB2312"/>
                      <w:sz w:val="19"/>
                    </w:rPr>
                    <w:t xml:space="preserve"> </w:t>
                  </w:r>
                </w:p>
                <w:p>
                  <w:pPr>
                    <w:pStyle w:val="null5"/>
                    <w:spacing w:after="120"/>
                    <w:jc w:val="left"/>
                  </w:pPr>
                  <w:r>
                    <w:rPr>
                      <w:rFonts w:ascii="仿宋_GB2312" w:hAnsi="仿宋_GB2312" w:cs="仿宋_GB2312" w:eastAsia="仿宋_GB2312"/>
                      <w:sz w:val="21"/>
                    </w:rPr>
                    <w:t>基于现行自治区医保信息平台的数据中台，提供包括数据开发平台、数据开发管理服务，并提供数据开发规范约束要求，保障数据中台开发的规范性与数据一致性，为大数据应用提供支撑。</w:t>
                  </w:r>
                  <w:r>
                    <w:br/>
                  </w:r>
                  <w:r>
                    <w:rPr>
                      <w:rFonts w:ascii="仿宋_GB2312" w:hAnsi="仿宋_GB2312" w:cs="仿宋_GB2312" w:eastAsia="仿宋_GB2312"/>
                      <w:sz w:val="21"/>
                    </w:rPr>
                    <w:t xml:space="preserve"> 运维团队应每日对现行数据应用进行一次巡检作业，并做好巡检记录。</w:t>
                  </w:r>
                </w:p>
                <w:p>
                  <w:pPr>
                    <w:pStyle w:val="null5"/>
                    <w:spacing w:after="120"/>
                    <w:jc w:val="left"/>
                  </w:pPr>
                  <w:r>
                    <w:rPr>
                      <w:rFonts w:ascii="仿宋_GB2312" w:hAnsi="仿宋_GB2312" w:cs="仿宋_GB2312" w:eastAsia="仿宋_GB2312"/>
                      <w:sz w:val="19"/>
                    </w:rPr>
                    <w:t xml:space="preserve"> </w:t>
                  </w:r>
                </w:p>
              </w:tc>
            </w:tr>
          </w:tbl>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21"/>
              </w:rPr>
              <w:t>( 三 )   项目管理要求</w:t>
            </w:r>
          </w:p>
          <w:p>
            <w:pPr>
              <w:pStyle w:val="null5"/>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54"/>
              <w:gridCol w:w="654"/>
              <w:gridCol w:w="1744"/>
            </w:tblGrid>
            <w:tr>
              <w:tc>
                <w:tcPr>
                  <w:tcW w:type="dxa" w:w="15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序号</w:t>
                  </w:r>
                </w:p>
              </w:tc>
              <w:tc>
                <w:tcPr>
                  <w:tcW w:type="dxa" w:w="65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服务名称</w:t>
                  </w:r>
                </w:p>
              </w:tc>
              <w:tc>
                <w:tcPr>
                  <w:tcW w:type="dxa" w:w="174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服务要求</w:t>
                  </w:r>
                </w:p>
              </w:tc>
            </w:tr>
            <w:tr>
              <w:tc>
                <w:tcPr>
                  <w:tcW w:type="dxa" w:w="1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1</w:t>
                  </w:r>
                </w:p>
              </w:tc>
              <w:tc>
                <w:tcPr>
                  <w:tcW w:type="dxa" w:w="6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b/>
                    </w:rPr>
                    <w:t>★</w:t>
                  </w:r>
                  <w:r>
                    <w:rPr>
                      <w:rFonts w:ascii="仿宋_GB2312" w:hAnsi="仿宋_GB2312" w:cs="仿宋_GB2312" w:eastAsia="仿宋_GB2312"/>
                      <w:sz w:val="21"/>
                    </w:rPr>
                    <w:t>项目团队要求</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both"/>
                  </w:pPr>
                  <w:r>
                    <w:rPr>
                      <w:rFonts w:ascii="仿宋_GB2312" w:hAnsi="仿宋_GB2312" w:cs="仿宋_GB2312" w:eastAsia="仿宋_GB2312"/>
                      <w:sz w:val="19"/>
                    </w:rPr>
                    <w:t xml:space="preserve"> </w:t>
                  </w:r>
                </w:p>
                <w:p>
                  <w:pPr>
                    <w:pStyle w:val="null5"/>
                    <w:jc w:val="both"/>
                  </w:pPr>
                  <w:r>
                    <w:rPr>
                      <w:rFonts w:ascii="仿宋_GB2312" w:hAnsi="仿宋_GB2312" w:cs="仿宋_GB2312" w:eastAsia="仿宋_GB2312"/>
                      <w:sz w:val="21"/>
                    </w:rPr>
                    <w:t>1.投标人应组建满足本项目实际需要的项目管理团队，项目团队成员（含项目经理）总体不少于64人，负责保障业务经办六个子系统和数据治理的稳定运行。安排的项目人员必须固定，若有替换，必须与采购人协商，</w:t>
                  </w:r>
                  <w:r>
                    <w:rPr>
                      <w:rFonts w:ascii="仿宋_GB2312" w:hAnsi="仿宋_GB2312" w:cs="仿宋_GB2312" w:eastAsia="仿宋_GB2312"/>
                      <w:sz w:val="21"/>
                    </w:rPr>
                    <w:t>否则由投标人</w:t>
                  </w:r>
                  <w:r>
                    <w:rPr>
                      <w:rFonts w:ascii="仿宋_GB2312" w:hAnsi="仿宋_GB2312" w:cs="仿宋_GB2312" w:eastAsia="仿宋_GB2312"/>
                      <w:sz w:val="21"/>
                    </w:rPr>
                    <w:t>随意更换人员所造成的不利后果均由投标人自行承担</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2.投标人应组建满足本项目实际需要的项目服务团队，拟派的运维人员必须具备胜任运维服务支持工作岗位的能力和水平，具有医疗保障相关应用系统的设计、开发或测试或运行维护工作的经历，熟悉系统运维相关业务知识，熟练掌握常见应用系统的架构、数据库操作及维护技术；有良好的沟通能力、耐性和综合素质。安排如下：</w:t>
                  </w:r>
                </w:p>
                <w:p>
                  <w:pPr>
                    <w:pStyle w:val="null5"/>
                    <w:jc w:val="both"/>
                  </w:pPr>
                  <w:r>
                    <w:rPr>
                      <w:rFonts w:ascii="仿宋_GB2312" w:hAnsi="仿宋_GB2312" w:cs="仿宋_GB2312" w:eastAsia="仿宋_GB2312"/>
                      <w:sz w:val="21"/>
                    </w:rPr>
                    <w:t>（1）提供专职驻场运维工程师33人，熟悉了解医保业务，能够解决数据库及应用系统常见问题，保障业务工作的正常进行，协助完成用户交办其他相关工作。</w:t>
                  </w:r>
                </w:p>
                <w:p>
                  <w:pPr>
                    <w:pStyle w:val="null5"/>
                    <w:jc w:val="both"/>
                  </w:pPr>
                  <w:r>
                    <w:rPr>
                      <w:rFonts w:ascii="仿宋_GB2312" w:hAnsi="仿宋_GB2312" w:cs="仿宋_GB2312" w:eastAsia="仿宋_GB2312"/>
                      <w:sz w:val="21"/>
                    </w:rPr>
                    <w:t>（2）提供不少于31名具有丰富经验的技术工程师作为二线支撑团队，要求若发生突发事件且驻场工程师无法解决，则启动场外运维人员的支撑策略，配合驻场工程师在第一时间内解决故障，保障系统的正常运行。</w:t>
                  </w:r>
                </w:p>
                <w:p>
                  <w:pPr>
                    <w:pStyle w:val="null5"/>
                    <w:jc w:val="both"/>
                  </w:pPr>
                  <w:r>
                    <w:rPr>
                      <w:rFonts w:ascii="仿宋_GB2312" w:hAnsi="仿宋_GB2312" w:cs="仿宋_GB2312" w:eastAsia="仿宋_GB2312"/>
                      <w:sz w:val="21"/>
                    </w:rPr>
                    <w:t>3．投标人需确定项目经理1人，项目经理需具有5年以上的信息化项目管理经验，具有信息化总体项目管理能力，对信息化项目有深入理解，有良好的沟通能力、耐性和综合素质。</w:t>
                  </w:r>
                </w:p>
                <w:p>
                  <w:pPr>
                    <w:pStyle w:val="null5"/>
                    <w:jc w:val="both"/>
                  </w:pPr>
                  <w:r>
                    <w:rPr>
                      <w:rFonts w:ascii="仿宋_GB2312" w:hAnsi="仿宋_GB2312" w:cs="仿宋_GB2312" w:eastAsia="仿宋_GB2312"/>
                      <w:sz w:val="19"/>
                    </w:rPr>
                    <w:t xml:space="preserve"> </w:t>
                  </w:r>
                </w:p>
              </w:tc>
            </w:tr>
            <w:tr>
              <w:tc>
                <w:tcPr>
                  <w:tcW w:type="dxa" w:w="1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2</w:t>
                  </w:r>
                </w:p>
              </w:tc>
              <w:tc>
                <w:tcPr>
                  <w:tcW w:type="dxa" w:w="6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项目培训要求</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both"/>
                  </w:pPr>
                  <w:r>
                    <w:rPr>
                      <w:rFonts w:ascii="仿宋_GB2312" w:hAnsi="仿宋_GB2312" w:cs="仿宋_GB2312" w:eastAsia="仿宋_GB2312"/>
                      <w:sz w:val="19"/>
                    </w:rPr>
                    <w:t xml:space="preserve"> </w:t>
                  </w:r>
                </w:p>
                <w:p>
                  <w:pPr>
                    <w:pStyle w:val="null5"/>
                    <w:jc w:val="both"/>
                  </w:pPr>
                  <w:r>
                    <w:rPr>
                      <w:rFonts w:ascii="仿宋_GB2312" w:hAnsi="仿宋_GB2312" w:cs="仿宋_GB2312" w:eastAsia="仿宋_GB2312"/>
                      <w:sz w:val="21"/>
                    </w:rPr>
                    <w:t>投标人须根据</w:t>
                  </w:r>
                  <w:r>
                    <w:rPr>
                      <w:rFonts w:ascii="仿宋_GB2312" w:hAnsi="仿宋_GB2312" w:cs="仿宋_GB2312" w:eastAsia="仿宋_GB2312"/>
                      <w:sz w:val="21"/>
                    </w:rPr>
                    <w:t>自治区大数据中心</w:t>
                  </w:r>
                  <w:r>
                    <w:rPr>
                      <w:rFonts w:ascii="仿宋_GB2312" w:hAnsi="仿宋_GB2312" w:cs="仿宋_GB2312" w:eastAsia="仿宋_GB2312"/>
                      <w:sz w:val="21"/>
                    </w:rPr>
                    <w:t>统一安排，制定全面、详细的培训方案和培训计划；针对所有的培训，投标人须派具有相应专业经验和实际教学经验的教师和相应的辅导人员进行培训，并提供培训所需要的技术支持；同时投标人应提供多样的培训模式：线上、线下、分盟市、分用户、分类型的培训。全年各盟市均提供培训服务 2次。</w:t>
                  </w:r>
                </w:p>
                <w:p>
                  <w:pPr>
                    <w:pStyle w:val="null5"/>
                    <w:jc w:val="both"/>
                  </w:pPr>
                  <w:r>
                    <w:rPr>
                      <w:rFonts w:ascii="仿宋_GB2312" w:hAnsi="仿宋_GB2312" w:cs="仿宋_GB2312" w:eastAsia="仿宋_GB2312"/>
                      <w:sz w:val="19"/>
                    </w:rPr>
                    <w:t xml:space="preserve"> </w:t>
                  </w:r>
                </w:p>
              </w:tc>
            </w:tr>
            <w:tr>
              <w:tc>
                <w:tcPr>
                  <w:tcW w:type="dxa" w:w="1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3</w:t>
                  </w:r>
                </w:p>
              </w:tc>
              <w:tc>
                <w:tcPr>
                  <w:tcW w:type="dxa" w:w="6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项目文档要求</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both"/>
                  </w:pPr>
                  <w:r>
                    <w:rPr>
                      <w:rFonts w:ascii="仿宋_GB2312" w:hAnsi="仿宋_GB2312" w:cs="仿宋_GB2312" w:eastAsia="仿宋_GB2312"/>
                      <w:sz w:val="19"/>
                    </w:rPr>
                    <w:t xml:space="preserve"> </w:t>
                  </w:r>
                </w:p>
                <w:p>
                  <w:pPr>
                    <w:pStyle w:val="null5"/>
                    <w:jc w:val="both"/>
                  </w:pPr>
                  <w:r>
                    <w:rPr>
                      <w:rFonts w:ascii="仿宋_GB2312" w:hAnsi="仿宋_GB2312" w:cs="仿宋_GB2312" w:eastAsia="仿宋_GB2312"/>
                      <w:sz w:val="21"/>
                    </w:rPr>
                    <w:t>投标人在项目执行全过程中，按照采购人要求制作各类文档，包括但不限于开工文档（管理方案、项目人员名单、角色分工、项目计划等）、服务方案、项目风险管理方案、巡检文件、故障报告、验收文档等。</w:t>
                  </w:r>
                </w:p>
                <w:p>
                  <w:pPr>
                    <w:pStyle w:val="null5"/>
                    <w:jc w:val="both"/>
                  </w:pPr>
                  <w:r>
                    <w:rPr>
                      <w:rFonts w:ascii="仿宋_GB2312" w:hAnsi="仿宋_GB2312" w:cs="仿宋_GB2312" w:eastAsia="仿宋_GB2312"/>
                      <w:sz w:val="19"/>
                    </w:rPr>
                    <w:t xml:space="preserve"> </w:t>
                  </w:r>
                </w:p>
              </w:tc>
            </w:tr>
            <w:tr>
              <w:tc>
                <w:tcPr>
                  <w:tcW w:type="dxa" w:w="1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4</w:t>
                  </w:r>
                </w:p>
              </w:tc>
              <w:tc>
                <w:tcPr>
                  <w:tcW w:type="dxa" w:w="6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验收要求</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both"/>
                  </w:pPr>
                  <w:r>
                    <w:rPr>
                      <w:rFonts w:ascii="仿宋_GB2312" w:hAnsi="仿宋_GB2312" w:cs="仿宋_GB2312" w:eastAsia="仿宋_GB2312"/>
                      <w:sz w:val="19"/>
                    </w:rPr>
                    <w:t xml:space="preserve"> </w:t>
                  </w:r>
                </w:p>
                <w:p>
                  <w:pPr>
                    <w:pStyle w:val="null5"/>
                    <w:jc w:val="both"/>
                  </w:pPr>
                  <w:r>
                    <w:rPr>
                      <w:rFonts w:ascii="仿宋_GB2312" w:hAnsi="仿宋_GB2312" w:cs="仿宋_GB2312" w:eastAsia="仿宋_GB2312"/>
                      <w:sz w:val="21"/>
                    </w:rPr>
                    <w:t>采购人须与相关人员组成验收小组完成验收。根据最终验收情况，编写最终验收报告。投标人应完成项目验收资料的准备。</w:t>
                  </w:r>
                </w:p>
                <w:p>
                  <w:pPr>
                    <w:pStyle w:val="null5"/>
                    <w:jc w:val="both"/>
                  </w:pPr>
                  <w:r>
                    <w:rPr>
                      <w:rFonts w:ascii="仿宋_GB2312" w:hAnsi="仿宋_GB2312" w:cs="仿宋_GB2312" w:eastAsia="仿宋_GB2312"/>
                      <w:sz w:val="21"/>
                    </w:rPr>
                    <w:t>投标人提供的服务标准应参照工业和信息化部颁布的《信息技术服务运行维护第 1部分：通用要求》(GB/T28827.1-2012)及采购人建设要求施行。中标后根据采购人的验收要求提供相关交付文件。应保障内蒙古自治区医疗保障信息平台业务经办子系统及数据治理运维的平稳运行。服务不满足</w:t>
                  </w:r>
                  <w:r>
                    <w:rPr>
                      <w:rFonts w:ascii="仿宋_GB2312" w:hAnsi="仿宋_GB2312" w:cs="仿宋_GB2312" w:eastAsia="仿宋_GB2312"/>
                      <w:sz w:val="21"/>
                    </w:rPr>
                    <w:t>采购人</w:t>
                  </w:r>
                  <w:r>
                    <w:rPr>
                      <w:rFonts w:ascii="仿宋_GB2312" w:hAnsi="仿宋_GB2312" w:cs="仿宋_GB2312" w:eastAsia="仿宋_GB2312"/>
                      <w:sz w:val="21"/>
                    </w:rPr>
                    <w:t>要求，</w:t>
                  </w:r>
                  <w:r>
                    <w:rPr>
                      <w:rFonts w:ascii="仿宋_GB2312" w:hAnsi="仿宋_GB2312" w:cs="仿宋_GB2312" w:eastAsia="仿宋_GB2312"/>
                      <w:sz w:val="21"/>
                    </w:rPr>
                    <w:t>采购人</w:t>
                  </w:r>
                  <w:r>
                    <w:rPr>
                      <w:rFonts w:ascii="仿宋_GB2312" w:hAnsi="仿宋_GB2312" w:cs="仿宋_GB2312" w:eastAsia="仿宋_GB2312"/>
                      <w:sz w:val="21"/>
                    </w:rPr>
                    <w:t>有权终止服务。在服务过程中出现服务类型、服务指标、目标功能上不符合标书和合同要求时，由投标人负责解决，</w:t>
                  </w:r>
                  <w:r>
                    <w:rPr>
                      <w:rFonts w:ascii="仿宋_GB2312" w:hAnsi="仿宋_GB2312" w:cs="仿宋_GB2312" w:eastAsia="仿宋_GB2312"/>
                      <w:sz w:val="21"/>
                    </w:rPr>
                    <w:t>采购人</w:t>
                  </w:r>
                  <w:r>
                    <w:rPr>
                      <w:rFonts w:ascii="仿宋_GB2312" w:hAnsi="仿宋_GB2312" w:cs="仿宋_GB2312" w:eastAsia="仿宋_GB2312"/>
                      <w:sz w:val="21"/>
                    </w:rPr>
                    <w:t>有拒绝验收的权利并保留索赔权利。</w:t>
                  </w:r>
                </w:p>
                <w:p>
                  <w:pPr>
                    <w:pStyle w:val="null5"/>
                    <w:jc w:val="both"/>
                  </w:pPr>
                  <w:r>
                    <w:rPr>
                      <w:rFonts w:ascii="仿宋_GB2312" w:hAnsi="仿宋_GB2312" w:cs="仿宋_GB2312" w:eastAsia="仿宋_GB2312"/>
                      <w:sz w:val="21"/>
                    </w:rPr>
                    <w:t>本项目的过程中将产生大量的技术及管理文档，投标人应协助采购人，</w:t>
                  </w:r>
                  <w:r>
                    <w:rPr>
                      <w:rFonts w:ascii="仿宋_GB2312" w:hAnsi="仿宋_GB2312" w:cs="仿宋_GB2312" w:eastAsia="仿宋_GB2312"/>
                      <w:sz w:val="21"/>
                    </w:rPr>
                    <w:t>负责建立、维护、交接项目过程中产生的各类文档，确保项目文档的内容体现本项目的服务过程，并确保项目文档的完整性和准确性。</w:t>
                  </w:r>
                  <w:r>
                    <w:rPr>
                      <w:rFonts w:ascii="仿宋_GB2312" w:hAnsi="仿宋_GB2312" w:cs="仿宋_GB2312" w:eastAsia="仿宋_GB2312"/>
                      <w:sz w:val="21"/>
                    </w:rPr>
                    <w:t>建立完备的售后服务保障机制，并按照要求提交全部文档，配合采购人完成相关部门对本项目的验收。</w:t>
                  </w:r>
                </w:p>
                <w:p>
                  <w:pPr>
                    <w:pStyle w:val="null5"/>
                    <w:jc w:val="both"/>
                  </w:pPr>
                  <w:r>
                    <w:rPr>
                      <w:rFonts w:ascii="仿宋_GB2312" w:hAnsi="仿宋_GB2312" w:cs="仿宋_GB2312" w:eastAsia="仿宋_GB2312"/>
                      <w:sz w:val="19"/>
                    </w:rPr>
                    <w:t xml:space="preserve"> </w:t>
                  </w:r>
                </w:p>
                <w:p>
                  <w:pPr>
                    <w:pStyle w:val="null5"/>
                    <w:jc w:val="both"/>
                  </w:pPr>
                </w:p>
              </w:tc>
            </w:tr>
            <w:tr>
              <w:tc>
                <w:tcPr>
                  <w:tcW w:type="dxa" w:w="1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5</w:t>
                  </w:r>
                </w:p>
              </w:tc>
              <w:tc>
                <w:tcPr>
                  <w:tcW w:type="dxa" w:w="6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应急响应服务要求</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both"/>
                  </w:pPr>
                  <w:r>
                    <w:rPr>
                      <w:rFonts w:ascii="仿宋_GB2312" w:hAnsi="仿宋_GB2312" w:cs="仿宋_GB2312" w:eastAsia="仿宋_GB2312"/>
                      <w:sz w:val="19"/>
                    </w:rPr>
                    <w:t xml:space="preserve"> </w:t>
                  </w:r>
                </w:p>
                <w:p>
                  <w:pPr>
                    <w:pStyle w:val="null5"/>
                    <w:jc w:val="both"/>
                  </w:pPr>
                  <w:r>
                    <w:rPr>
                      <w:rFonts w:ascii="仿宋_GB2312" w:hAnsi="仿宋_GB2312" w:cs="仿宋_GB2312" w:eastAsia="仿宋_GB2312"/>
                      <w:sz w:val="21"/>
                    </w:rPr>
                    <w:t>投标人须提供服务期内7*24小时运维保障服务，并制定针对本项目的线路保障方案。方案包括但不限于定期巡检、故障修复、特殊保障等内容。</w:t>
                  </w:r>
                </w:p>
                <w:p>
                  <w:pPr>
                    <w:pStyle w:val="null5"/>
                    <w:jc w:val="both"/>
                  </w:pPr>
                  <w:r>
                    <w:rPr>
                      <w:rFonts w:ascii="仿宋_GB2312" w:hAnsi="仿宋_GB2312" w:cs="仿宋_GB2312" w:eastAsia="仿宋_GB2312"/>
                      <w:sz w:val="21"/>
                    </w:rPr>
                    <w:t xml:space="preserve">  针对本次项目，在接到采购人故障报修电话后立即响应，在30分钟内达到现场提供服务，维护人员每30分钟反馈故障排查处理情况，故障恢复后30分钟内反馈结果并于3个工作日内提供书面故障报告。同时投标人须提供应急绿色通道，以便采购人技术人员直接与投标人技术专家进行直接沟通，确保内蒙古自治区医保信息平台业务子系统及相关业务数据的运行稳定。如投标人不能按以上承诺进行服务，采购人有权按照违约条款处罚。</w:t>
                  </w:r>
                  <w:r>
                    <w:br/>
                  </w:r>
                  <w:r>
                    <w:rPr>
                      <w:rFonts w:ascii="仿宋_GB2312" w:hAnsi="仿宋_GB2312" w:cs="仿宋_GB2312" w:eastAsia="仿宋_GB2312"/>
                      <w:sz w:val="21"/>
                    </w:rPr>
                    <w:t>在重大活动期间，根据采购人需求提供7*24小时运维服务，保障本项目涉及平台的安全稳定运行。</w:t>
                  </w:r>
                  <w:r>
                    <w:br/>
                  </w:r>
                  <w:r>
                    <w:rPr>
                      <w:rFonts w:ascii="仿宋_GB2312" w:hAnsi="仿宋_GB2312" w:cs="仿宋_GB2312" w:eastAsia="仿宋_GB2312"/>
                      <w:sz w:val="21"/>
                    </w:rPr>
                    <w:t xml:space="preserve">    投标人须提供免费的服务热线电话，接受故障报修、使用帮助要求、业务和技术咨询、服务投诉等。应配备足够的咨询人员或技术工程师7×24小时全天候运行。在热线电话发生故障情况下，应提供其它备份的方便和迅速的联系方式。</w:t>
                  </w:r>
                </w:p>
                <w:p>
                  <w:pPr>
                    <w:pStyle w:val="null5"/>
                    <w:jc w:val="both"/>
                  </w:pPr>
                  <w:r>
                    <w:rPr>
                      <w:rFonts w:ascii="仿宋_GB2312" w:hAnsi="仿宋_GB2312" w:cs="仿宋_GB2312" w:eastAsia="仿宋_GB2312"/>
                      <w:sz w:val="19"/>
                    </w:rPr>
                    <w:t xml:space="preserve"> </w:t>
                  </w:r>
                </w:p>
              </w:tc>
            </w:tr>
            <w:tr>
              <w:tc>
                <w:tcPr>
                  <w:tcW w:type="dxa" w:w="1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6</w:t>
                  </w:r>
                </w:p>
              </w:tc>
              <w:tc>
                <w:tcPr>
                  <w:tcW w:type="dxa" w:w="6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项目配合服务</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both"/>
                  </w:pPr>
                  <w:r>
                    <w:rPr>
                      <w:rFonts w:ascii="仿宋_GB2312" w:hAnsi="仿宋_GB2312" w:cs="仿宋_GB2312" w:eastAsia="仿宋_GB2312"/>
                      <w:sz w:val="19"/>
                    </w:rPr>
                    <w:t xml:space="preserve"> </w:t>
                  </w:r>
                </w:p>
                <w:p>
                  <w:pPr>
                    <w:pStyle w:val="null5"/>
                    <w:jc w:val="both"/>
                  </w:pPr>
                  <w:r>
                    <w:rPr>
                      <w:rFonts w:ascii="仿宋_GB2312" w:hAnsi="仿宋_GB2312" w:cs="仿宋_GB2312" w:eastAsia="仿宋_GB2312"/>
                      <w:sz w:val="21"/>
                    </w:rPr>
                    <w:t>本项目服务期内，投标人需免费协助采购人响应外部单位、内部单位以及第三方机构针对本项目涉及各项服务的内容检查工作</w:t>
                  </w:r>
                  <w:r>
                    <w:rPr>
                      <w:rFonts w:ascii="仿宋_GB2312" w:hAnsi="仿宋_GB2312" w:cs="仿宋_GB2312" w:eastAsia="仿宋_GB2312"/>
                      <w:sz w:val="21"/>
                    </w:rPr>
                    <w:t>。</w:t>
                  </w:r>
                  <w:r>
                    <w:rPr>
                      <w:rFonts w:ascii="仿宋_GB2312" w:hAnsi="仿宋_GB2312" w:cs="仿宋_GB2312" w:eastAsia="仿宋_GB2312"/>
                      <w:sz w:val="21"/>
                    </w:rPr>
                    <w:t>服务内容包括协助采购人准备、完善各类资料文档，</w:t>
                  </w:r>
                  <w:r>
                    <w:rPr>
                      <w:rFonts w:ascii="仿宋_GB2312" w:hAnsi="仿宋_GB2312" w:cs="仿宋_GB2312" w:eastAsia="仿宋_GB2312"/>
                      <w:sz w:val="21"/>
                    </w:rPr>
                    <w:t>配合检查过程中的答疑及技术支持及其他现场检查的响应，承担不超过运维合同总价15%的新需求扩建。</w:t>
                  </w:r>
                </w:p>
                <w:p>
                  <w:pPr>
                    <w:pStyle w:val="null5"/>
                    <w:jc w:val="both"/>
                  </w:pPr>
                  <w:r>
                    <w:rPr>
                      <w:rFonts w:ascii="仿宋_GB2312" w:hAnsi="仿宋_GB2312" w:cs="仿宋_GB2312" w:eastAsia="仿宋_GB2312"/>
                      <w:sz w:val="19"/>
                    </w:rPr>
                    <w:t xml:space="preserve"> </w:t>
                  </w:r>
                </w:p>
              </w:tc>
            </w:tr>
            <w:tr>
              <w:tc>
                <w:tcPr>
                  <w:tcW w:type="dxa" w:w="1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7</w:t>
                  </w:r>
                </w:p>
              </w:tc>
              <w:tc>
                <w:tcPr>
                  <w:tcW w:type="dxa" w:w="6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服务保障管理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both"/>
                  </w:pPr>
                  <w:r>
                    <w:rPr>
                      <w:rFonts w:ascii="仿宋_GB2312" w:hAnsi="仿宋_GB2312" w:cs="仿宋_GB2312" w:eastAsia="仿宋_GB2312"/>
                      <w:sz w:val="19"/>
                    </w:rPr>
                    <w:t xml:space="preserve"> </w:t>
                  </w:r>
                </w:p>
                <w:p>
                  <w:pPr>
                    <w:pStyle w:val="null5"/>
                    <w:jc w:val="both"/>
                  </w:pPr>
                  <w:r>
                    <w:rPr>
                      <w:rFonts w:ascii="仿宋_GB2312" w:hAnsi="仿宋_GB2312" w:cs="仿宋_GB2312" w:eastAsia="仿宋_GB2312"/>
                      <w:sz w:val="21"/>
                    </w:rPr>
                    <w:t>投标人须配合采购人及用户单位对管理要求积极开展相关工作，包含但不限于指派专人负责医保重大活动的保障工作、问题处理及协调排查、现场管理、技术管理、方案优化及编制等，并具备完备的服务保障体系。</w:t>
                  </w:r>
                  <w:r>
                    <w:br/>
                  </w:r>
                  <w:r>
                    <w:rPr>
                      <w:rFonts w:ascii="仿宋_GB2312" w:hAnsi="仿宋_GB2312" w:cs="仿宋_GB2312" w:eastAsia="仿宋_GB2312"/>
                      <w:sz w:val="21"/>
                    </w:rPr>
                    <w:t>投标人须根据项目实施过程中实际情况，配合</w:t>
                  </w:r>
                  <w:r>
                    <w:rPr>
                      <w:rFonts w:ascii="仿宋_GB2312" w:hAnsi="仿宋_GB2312" w:cs="仿宋_GB2312" w:eastAsia="仿宋_GB2312"/>
                      <w:sz w:val="21"/>
                    </w:rPr>
                    <w:t>采购人</w:t>
                  </w:r>
                  <w:r>
                    <w:rPr>
                      <w:rFonts w:ascii="仿宋_GB2312" w:hAnsi="仿宋_GB2312" w:cs="仿宋_GB2312" w:eastAsia="仿宋_GB2312"/>
                      <w:sz w:val="21"/>
                    </w:rPr>
                    <w:t>及用户单位对项目进行合理化调整。</w:t>
                  </w:r>
                </w:p>
                <w:p>
                  <w:pPr>
                    <w:pStyle w:val="null5"/>
                    <w:jc w:val="both"/>
                  </w:pPr>
                  <w:r>
                    <w:rPr>
                      <w:rFonts w:ascii="仿宋_GB2312" w:hAnsi="仿宋_GB2312" w:cs="仿宋_GB2312" w:eastAsia="仿宋_GB2312"/>
                      <w:sz w:val="19"/>
                    </w:rPr>
                    <w:t xml:space="preserve"> </w:t>
                  </w:r>
                </w:p>
              </w:tc>
            </w:tr>
            <w:tr>
              <w:tc>
                <w:tcPr>
                  <w:tcW w:type="dxa" w:w="1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8</w:t>
                  </w:r>
                </w:p>
              </w:tc>
              <w:tc>
                <w:tcPr>
                  <w:tcW w:type="dxa" w:w="6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b/>
                    </w:rPr>
                    <w:t>★</w:t>
                  </w:r>
                  <w:r>
                    <w:rPr>
                      <w:rFonts w:ascii="仿宋_GB2312" w:hAnsi="仿宋_GB2312" w:cs="仿宋_GB2312" w:eastAsia="仿宋_GB2312"/>
                      <w:sz w:val="21"/>
                    </w:rPr>
                    <w:t>知识产权及保密要求</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both"/>
                  </w:pPr>
                  <w:r>
                    <w:rPr>
                      <w:rFonts w:ascii="仿宋_GB2312" w:hAnsi="仿宋_GB2312" w:cs="仿宋_GB2312" w:eastAsia="仿宋_GB2312"/>
                      <w:sz w:val="19"/>
                    </w:rPr>
                    <w:t xml:space="preserve"> </w:t>
                  </w:r>
                </w:p>
                <w:p>
                  <w:pPr>
                    <w:pStyle w:val="null5"/>
                    <w:jc w:val="both"/>
                  </w:pPr>
                  <w:r>
                    <w:rPr>
                      <w:rFonts w:ascii="仿宋_GB2312" w:hAnsi="仿宋_GB2312" w:cs="仿宋_GB2312" w:eastAsia="仿宋_GB2312"/>
                      <w:sz w:val="21"/>
                    </w:rPr>
                    <w:t>（1）投标人应在投标文件中承诺保证提供给采购人使用的货物及服务或其中的任何一部分，免受第三方提出的侵犯其知识产权的索赔或诉讼。如有任何上述指控，自行承担可能发生的一切法律责任和费用。</w:t>
                  </w:r>
                  <w:r>
                    <w:br/>
                  </w:r>
                  <w:r>
                    <w:rPr>
                      <w:rFonts w:ascii="仿宋_GB2312" w:hAnsi="仿宋_GB2312" w:cs="仿宋_GB2312" w:eastAsia="仿宋_GB2312"/>
                      <w:sz w:val="21"/>
                    </w:rPr>
                    <w:t>（2）中标人必须对项目技术文件、采购人提供的所有内部资料、技术文档、系统数据（包含原始数据和衍生数据）和信息等予以保密。中标人必须与招标人签订保密协议并严格遵守。</w:t>
                  </w:r>
                </w:p>
                <w:p>
                  <w:pPr>
                    <w:pStyle w:val="null5"/>
                    <w:jc w:val="both"/>
                  </w:pPr>
                  <w:r>
                    <w:rPr>
                      <w:rFonts w:ascii="仿宋_GB2312" w:hAnsi="仿宋_GB2312" w:cs="仿宋_GB2312" w:eastAsia="仿宋_GB2312"/>
                      <w:sz w:val="19"/>
                    </w:rPr>
                    <w:t xml:space="preserve"> </w:t>
                  </w:r>
                </w:p>
              </w:tc>
            </w:tr>
            <w:tr>
              <w:tc>
                <w:tcPr>
                  <w:tcW w:type="dxa" w:w="1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9</w:t>
                  </w:r>
                </w:p>
              </w:tc>
              <w:tc>
                <w:tcPr>
                  <w:tcW w:type="dxa" w:w="6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center"/>
                  </w:pPr>
                  <w:r>
                    <w:rPr>
                      <w:rFonts w:ascii="仿宋_GB2312" w:hAnsi="仿宋_GB2312" w:cs="仿宋_GB2312" w:eastAsia="仿宋_GB2312"/>
                      <w:sz w:val="21"/>
                    </w:rPr>
                    <w:t>其它要求</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5"/>
                    <w:jc w:val="both"/>
                  </w:pPr>
                  <w:r>
                    <w:rPr>
                      <w:rFonts w:ascii="仿宋_GB2312" w:hAnsi="仿宋_GB2312" w:cs="仿宋_GB2312" w:eastAsia="仿宋_GB2312"/>
                      <w:sz w:val="19"/>
                    </w:rPr>
                    <w:t xml:space="preserve"> </w:t>
                  </w:r>
                </w:p>
                <w:p>
                  <w:pPr>
                    <w:pStyle w:val="null5"/>
                    <w:jc w:val="both"/>
                  </w:pPr>
                  <w:r>
                    <w:rPr>
                      <w:rFonts w:ascii="仿宋_GB2312" w:hAnsi="仿宋_GB2312" w:cs="仿宋_GB2312" w:eastAsia="仿宋_GB2312"/>
                      <w:sz w:val="21"/>
                    </w:rPr>
                    <w:t>投标人应确保其技术建议的可行性以及所提供服务和产品的完整性，若出现由于投标人所提供的服务和产品不全面而导致系统功能无法实现或不能完全实现，由投标人及时无偿补足，并负全部责任</w:t>
                  </w:r>
                  <w:r>
                    <w:rPr>
                      <w:rFonts w:ascii="仿宋_GB2312" w:hAnsi="仿宋_GB2312" w:cs="仿宋_GB2312" w:eastAsia="仿宋_GB2312"/>
                      <w:sz w:val="21"/>
                    </w:rPr>
                    <w:t>。</w:t>
                  </w:r>
                </w:p>
                <w:p>
                  <w:pPr>
                    <w:pStyle w:val="null5"/>
                    <w:jc w:val="both"/>
                  </w:pPr>
                  <w:r>
                    <w:rPr>
                      <w:rFonts w:ascii="仿宋_GB2312" w:hAnsi="仿宋_GB2312" w:cs="仿宋_GB2312" w:eastAsia="仿宋_GB2312"/>
                      <w:sz w:val="19"/>
                    </w:rPr>
                    <w:t xml:space="preserve"> </w:t>
                  </w:r>
                </w:p>
              </w:tc>
            </w:tr>
          </w:tbl>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21"/>
              </w:rPr>
              <w:t xml:space="preserve"> 打“★”号条款为实质性条款，若有任何一条负偏离或不满足则导致投标无效。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技术部分69.50分</w:t>
            </w:r>
          </w:p>
          <w:p>
            <w:pPr>
              <w:pStyle w:val="null5"/>
              <w:jc w:val="left"/>
            </w:pPr>
            <w:r>
              <w:rPr>
                <w:rFonts w:ascii="仿宋_GB2312" w:hAnsi="仿宋_GB2312" w:cs="仿宋_GB2312" w:eastAsia="仿宋_GB2312"/>
              </w:rPr>
              <w:t>商务部分20.50分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服务满足程度</w:t>
            </w:r>
          </w:p>
        </w:tc>
        <w:tc>
          <w:tcPr>
            <w:tcW w:type="dxa" w:w="3115"/>
          </w:tcPr>
          <w:p>
            <w:pPr>
              <w:pStyle w:val="null5"/>
              <w:jc w:val="left"/>
            </w:pPr>
            <w:r>
              <w:rPr>
                <w:rFonts w:ascii="仿宋_GB2312" w:hAnsi="仿宋_GB2312" w:cs="仿宋_GB2312" w:eastAsia="仿宋_GB2312"/>
              </w:rPr>
              <w:t xml:space="preserve"> 运维服务内容及服务管理要求满足共29项投标人每响应1项得0.5分，本项最多得14.5分。运维服务内容及服务管理要求中打“★”号条款为实质性条款,若有任何一条负偏离或不满足则导致投标无效。</w:t>
            </w:r>
          </w:p>
        </w:tc>
        <w:tc>
          <w:tcPr>
            <w:tcW w:type="dxa" w:w="1038"/>
          </w:tcPr>
          <w:p>
            <w:pPr>
              <w:pStyle w:val="null5"/>
              <w:jc w:val="right"/>
            </w:pPr>
            <w:r>
              <w:rPr>
                <w:rFonts w:ascii="仿宋_GB2312" w:hAnsi="仿宋_GB2312" w:cs="仿宋_GB2312" w:eastAsia="仿宋_GB2312"/>
              </w:rPr>
              <w:t>14.50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项目总体理解</w:t>
            </w:r>
          </w:p>
        </w:tc>
        <w:tc>
          <w:tcPr>
            <w:tcW w:type="dxa" w:w="3115"/>
          </w:tcPr>
          <w:p>
            <w:pPr>
              <w:pStyle w:val="null5"/>
              <w:jc w:val="left"/>
            </w:pPr>
            <w:r>
              <w:rPr>
                <w:rFonts w:ascii="仿宋_GB2312" w:hAnsi="仿宋_GB2312" w:cs="仿宋_GB2312" w:eastAsia="仿宋_GB2312"/>
              </w:rPr>
              <w:t xml:space="preserve"> 1、投标人对国家医疗保障局医疗保障信息平台建设指南的总体要求，对国家医疗保障信息平台总体目标、总体原则、总体要求进行解读（4分）； 上述内容完整、与项目需求吻合、思路清晰、层次细化，有具体详细的阐述且符合项目要求的得4分，无内容不得分；每存在一处缺陷扣1分；扣完为止。 注：“缺陷”指以下任意一种情形：方案内容不切合行业实际、不符合国家法规政策；或方案内容凭空编造，与实际情况不符，存在偏差；或方案内容过于简略；或存在与项目无关的文字内容；或内容不适用项目实际情况；或内容逻辑漏洞或原理错误；或地点区域错误；或套用其他项目方案；或前后内容互相矛盾；或专业领域知识阐述有误； 2、对国家医疗保障信息平台总体应用架构、总体数据架构、技术路线进行解读（5分）。 上述内容完整、与项目需求吻合、思路清晰、层次细化，有具体详细的阐述且符合项目要求的得5分，无内容不得分；每存在一处缺陷扣1分；扣完为止。 注：“缺陷”指以下任意一种情形：方案内容不切合行业实际、不符合国家法规政策；或方案内容凭空编造，与实际情况不符，存在偏差；或方案内容过于简略；或存在与项目无关的文字内容；或内容不适用项目实际情况；或内容逻辑漏洞或原理错误；或地点区域错误；或套用其他项目方案；或前后内容互相矛盾；或专业领域知识阐述有误；</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应用系统理解</w:t>
            </w:r>
          </w:p>
        </w:tc>
        <w:tc>
          <w:tcPr>
            <w:tcW w:type="dxa" w:w="3115"/>
          </w:tcPr>
          <w:p>
            <w:pPr>
              <w:pStyle w:val="null5"/>
              <w:jc w:val="left"/>
            </w:pPr>
            <w:r>
              <w:rPr>
                <w:rFonts w:ascii="仿宋_GB2312" w:hAnsi="仿宋_GB2312" w:cs="仿宋_GB2312" w:eastAsia="仿宋_GB2312"/>
              </w:rPr>
              <w:t>1、投标人对内蒙古医疗保障基础信息管理子系统现有功能应用的分析及理解（2分）；2、对内蒙古医疗保障医保业务基础子系统现有功能应用的分析及理解（2分）；3、对内蒙古医疗保障统一门户子系统现有功能应用的分析及理解（2分）；4、对内蒙古医疗保障内部控制子系统现有功能应用的分析及理解（2分）；5、对内蒙古医疗保障医疗服务价格子系统现有功能应用的分析及理解（2分）；6、对内蒙古医疗保障支付方式管理子系统现有功能应用的分析及理解（2分）；7、对内蒙古医疗保障数据治理运行现有功能应用的分析及理解（2分）。 上述7项内容中分析内容完整、与项目需求吻合、思路清晰、层次细化，有具体详细的阐述且符合项目要求的得2分，最高得14分； 上述7项内容每有一项缺项扣2分。每有一项存在一处缺陷扣1分；扣完为止。 注：“缺项”指某一项要求的内容未提供； “缺陷”指以下任意一种情形：方案内容不切合行业实际、不符合国家法规政策；或方案内容凭空编造，与实际情况不符，存在偏差；或方案内容过于简略；或存在与项目无关的文字内容；或内容不适用项目实际情况；或内容逻辑漏洞或原理错误；或地点区域错误；或套用其他项目方案；或前后内容互相矛盾；或专业领域知识阐述有误；</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运维方案</w:t>
            </w:r>
          </w:p>
        </w:tc>
        <w:tc>
          <w:tcPr>
            <w:tcW w:type="dxa" w:w="3115"/>
          </w:tcPr>
          <w:p>
            <w:pPr>
              <w:pStyle w:val="null5"/>
              <w:jc w:val="left"/>
            </w:pPr>
            <w:r>
              <w:rPr>
                <w:rFonts w:ascii="仿宋_GB2312" w:hAnsi="仿宋_GB2312" w:cs="仿宋_GB2312" w:eastAsia="仿宋_GB2312"/>
              </w:rPr>
              <w:t>1、投标人提供项目整体运维方案,需充分理解项目背景,结合医保业务、业务经办子系统及数据治理子系统进行运维需求分析(4分);2、方案需阐述整体业务运行情况,其中整体业务运行情况应包含业务说明、业务流程、业务运行情况(4分);3、投标人对本项目运维过程中可能出现的疑难点进行分析,制定相应的问题解决措施(4分);4、根据本项目运维系统在自治区医疗保障信息平台中的定位、与其他子系统的关联关系,制定包括但不限于组织管理体系、日常管理保障、基础运维工作、运维管理等的运维方案(4分)。 上述4项内容中分析内容完整、与项目需求吻合、思路清晰、层次细化，有具体详细的阐述且符合项目要求的得4分，最高得16分； 上述4项内容每有一项缺项扣4分。每有一项存在一处缺陷扣1分；扣完为止。 注：“缺项”指某一项要求的内容未提供； “缺陷”指以下任意一种情形：方案内容不切合行业实际、不符合国家法规政策；或方案内容凭空编造，与实际情况不符，存在偏差；或方案内容过于简略；或存在与项目无关的文字内容；或内容不适用项目实际情况；或内容逻辑漏洞或原理错误；或地点区域错误；或套用其他项目方案；或前后内容互相矛盾；或专业领域知识阐述有误；</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平台衔接</w:t>
            </w:r>
          </w:p>
        </w:tc>
        <w:tc>
          <w:tcPr>
            <w:tcW w:type="dxa" w:w="3115"/>
          </w:tcPr>
          <w:p>
            <w:pPr>
              <w:pStyle w:val="null5"/>
              <w:jc w:val="left"/>
            </w:pPr>
            <w:r>
              <w:rPr>
                <w:rFonts w:ascii="仿宋_GB2312" w:hAnsi="仿宋_GB2312" w:cs="仿宋_GB2312" w:eastAsia="仿宋_GB2312"/>
              </w:rPr>
              <w:t>投标人熟悉掌握内蒙古自治区医保信息平台内外部衔接业务，提供业务应用与业务中台服务调用的联动设计方案、业务协同联动服务设计方案（4分）； 上述内容完整、与项目需求吻合、思路清晰、层次细化，有具体详细的阐述且符合项目要求的得4分，无内容不得分；每存在一处缺陷扣1分；扣完为止。 注：“缺陷”指以下任意一种情形：方案内容不切合行业实际、不符合国家法规政策；或方案内容凭空编造，与实际情况不符，存在偏差；或方案内容过于简略；或存在与项目无关的文字内容；或内容不适用项目实际情况；或内容逻辑漏洞或原理错误；或地点区域错误；或套用其他项目方案；或前后内容互相矛盾；或专业领域知识阐述有误；</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运维保障</w:t>
            </w:r>
          </w:p>
        </w:tc>
        <w:tc>
          <w:tcPr>
            <w:tcW w:type="dxa" w:w="3115"/>
          </w:tcPr>
          <w:p>
            <w:pPr>
              <w:pStyle w:val="null5"/>
              <w:jc w:val="left"/>
            </w:pPr>
            <w:r>
              <w:rPr>
                <w:rFonts w:ascii="仿宋_GB2312" w:hAnsi="仿宋_GB2312" w:cs="仿宋_GB2312" w:eastAsia="仿宋_GB2312"/>
              </w:rPr>
              <w:t>投标人根据采购需求，提供运维安全保障方案，包括系统运维安全保障设计、系统运维安全风险分析、系统运维安全体系设计（4分）。 上述内容完整、与项目需求吻合、思路清晰、层次细化，有具体详细的阐述且符合项目要求的得4分，无内容不得分；每存在一处缺陷扣1分；扣完为止。 注：“缺陷”指以下任意一种情形：方案内容不切合行业实际、不符合国家法规政策；或方案内容凭空编造，与实际情况不符，存在偏差；或方案内容过于简略；或存在与项目无关的文字内容；或内容不适用项目实际情况；或内容逻辑漏洞或原理错误；或地点区域错误；或套用其他项目方案；或前后内容互相矛盾；或专业领域知识阐述有误；</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运维应急</w:t>
            </w:r>
          </w:p>
        </w:tc>
        <w:tc>
          <w:tcPr>
            <w:tcW w:type="dxa" w:w="3115"/>
          </w:tcPr>
          <w:p>
            <w:pPr>
              <w:pStyle w:val="null5"/>
              <w:jc w:val="left"/>
            </w:pPr>
            <w:r>
              <w:rPr>
                <w:rFonts w:ascii="仿宋_GB2312" w:hAnsi="仿宋_GB2312" w:cs="仿宋_GB2312" w:eastAsia="仿宋_GB2312"/>
              </w:rPr>
              <w:t>投标人根据采购需求,提供运维应急响应方案,包括应急预案设计、应急事件级别分类及应急响应时间、应急响应流程、应急培训及演练、应急处置等内容（4分）。 上述内容完整、与项目需求吻合、思路清晰、层次细化，有具体详细的阐述且符合项目要求的得4分，无内容不得分；每存在一处缺陷扣1分；扣完为止。 注：“缺陷”指以下任意一种情形：方案内容不切合行业实际、不符合国家法规政策；或方案内容凭空编造，与实际情况不符，存在偏差；或方案内容过于简略；或存在与项目无关的文字内容；或内容不适用项目实际情况；或内容逻辑漏洞或原理错误；或地点区域错误；或套用其他项目方案；或前后内容互相矛盾；或专业领域知识阐述有误；</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运维培训</w:t>
            </w:r>
          </w:p>
        </w:tc>
        <w:tc>
          <w:tcPr>
            <w:tcW w:type="dxa" w:w="3115"/>
          </w:tcPr>
          <w:p>
            <w:pPr>
              <w:pStyle w:val="null5"/>
              <w:jc w:val="left"/>
            </w:pPr>
            <w:r>
              <w:rPr>
                <w:rFonts w:ascii="仿宋_GB2312" w:hAnsi="仿宋_GB2312" w:cs="仿宋_GB2312" w:eastAsia="仿宋_GB2312"/>
              </w:rPr>
              <w:t>投标人根据采购需求，提供运维服务培训方案，包括培训方式、培训计划、培训内容（4分）。 上述内容完整、与项目需求吻合、思路清晰、层次细化，有具体详细的阐述且符合项目要求的得4分，无内容不得分；每存在一处缺陷扣1分；扣完为止。 注：“缺陷”指以下任意一种情形：方案内容不切合行业实际、不符合国家法规政策；或方案内容凭空编造，与实际情况不符，存在偏差；或方案内容过于简略；或存在与项目无关的文字内容；或内容不适用项目实际情况；或内容逻辑漏洞或原理错误；或地点区域错误；或套用其他项目方案；或前后内容互相矛盾；或专业领域知识阐述有误；</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项目团队支撑能力</w:t>
            </w:r>
          </w:p>
        </w:tc>
        <w:tc>
          <w:tcPr>
            <w:tcW w:type="dxa" w:w="3115"/>
          </w:tcPr>
          <w:p>
            <w:pPr>
              <w:pStyle w:val="null5"/>
              <w:jc w:val="left"/>
            </w:pPr>
            <w:r>
              <w:rPr>
                <w:rFonts w:ascii="仿宋_GB2312" w:hAnsi="仿宋_GB2312" w:cs="仿宋_GB2312" w:eastAsia="仿宋_GB2312"/>
              </w:rPr>
              <w:t>1、项目经理,具备通过计算机技术与软件专业技术资格（水平）考试获得高级证书的,得3分。 2、团队成员,具备通过计算机技术与软件专业技术资格（水平）考试获得高级证书的,每提供一个得2分，具备通过计算机技术与软件专业技术资格（水平）考试获得中级证书的,每提供一个得1分，最高得5分。(须提供上述技术人员在投标人企业在职证明,加盖投标人公章。同一人员多个证书不重复计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根据投标人所提供近3年（2022年1月1日至投标截止时间）同类项目的业绩做出评价，以服务合同为准。一个为1.5分，共7.5分，加满为止。（日期以合同签订时间为准，合同须能体现采购内容，盖章签署日期完整）</w:t>
            </w:r>
          </w:p>
        </w:tc>
        <w:tc>
          <w:tcPr>
            <w:tcW w:type="dxa" w:w="1038"/>
          </w:tcPr>
          <w:p>
            <w:pPr>
              <w:pStyle w:val="null5"/>
              <w:jc w:val="right"/>
            </w:pPr>
            <w:r>
              <w:rPr>
                <w:rFonts w:ascii="仿宋_GB2312" w:hAnsi="仿宋_GB2312" w:cs="仿宋_GB2312" w:eastAsia="仿宋_GB2312"/>
              </w:rPr>
              <w:t>7.50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软件著作权登记证书</w:t>
            </w:r>
          </w:p>
        </w:tc>
        <w:tc>
          <w:tcPr>
            <w:tcW w:type="dxa" w:w="3115"/>
          </w:tcPr>
          <w:p>
            <w:pPr>
              <w:pStyle w:val="null5"/>
              <w:jc w:val="left"/>
            </w:pPr>
            <w:r>
              <w:rPr>
                <w:rFonts w:ascii="仿宋_GB2312" w:hAnsi="仿宋_GB2312" w:cs="仿宋_GB2312" w:eastAsia="仿宋_GB2312"/>
              </w:rPr>
              <w:t>投标人提供医保业务领域软件著作权登记证书。每提供一个证书得0.5分，共5分。(须提供有效证明材料加盖投标人单位公章作为评分依据，软件著作权登记证书的颁发时间须在投标截止之日前）</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