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劳务派遣服务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包头仲裁委员会秘书处</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内蒙古金晨建设项目管理有限公司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BTZCS-C-F-250025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内蒙古金晨建设项目管理有限公司</w:t>
      </w:r>
      <w:r>
        <w:rPr>
          <w:rFonts w:ascii="仿宋_GB2312" w:hAnsi="仿宋_GB2312" w:cs="仿宋_GB2312" w:eastAsia="仿宋_GB2312"/>
        </w:rPr>
        <w:t xml:space="preserve"> 受 </w:t>
      </w:r>
      <w:r>
        <w:rPr>
          <w:rFonts w:ascii="仿宋_GB2312" w:hAnsi="仿宋_GB2312" w:cs="仿宋_GB2312" w:eastAsia="仿宋_GB2312"/>
        </w:rPr>
        <w:t>包头仲裁委员会秘书处</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劳务派遣服务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劳务派遣服务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BTZCS-C-F-250025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包政采计划[2025]00655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1,111,263.03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包头仲裁委员会秘书处劳务派遣服务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1,111,263.03</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内蒙古金晨建设项目管理有限公司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内蒙古自治区包头市青山区少先路2号商会大厦2008</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014030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薛工</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15044964256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包头仲裁委员会秘书处</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包头市九原区开元大街一号党政机关办公楼副楼D区</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解爱民</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0472-5618902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代理服务费收费标准：参考《内蒙古自治区建设工程招标代理服务收费指导意见》内工建协【2022(34号)】文件规定的取费标准取费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融资需求: 有融资需求的供应商在签订《政府采购合同》后，可通过平台自行选择金融产品，提供金融机构要求的相关材料，发起融资申请。 1、采购控制价：本项目采购控制价为1111263.03元，各响应供应商响应报价均不得超过采购控制价，超过采购控制价的视为无效磋商响应文件。2、评标委员会认为供应商的响应报价明显低于其他通过符合性审查供应商的响应报价，有可能影响服务质量或者不能诚信履约的，应当要求其在评审现场合理的时间内提供书面说明，必要时提交相关证明材料；供应商不能证明其报价合理性的，评标委员会应当将其作为无效投标处理。 3、采购代理服务费由中标供应商交纳。采购代理服务费参考内蒙古自治区工程建设协会《内蒙古自治区建设工程招标代理服务收费指导意见》【内工建协 （2022）34号】文件规定的收费标准收取。 4、由于采购文件中《合同与验收》为固定模板，无法修改。本项目的合同条款及格式以实际签订内容为准。 5、本项目为电子磋商，制作响应文件时请到自治区采购网首页自行学习操作方法（网站上有操作视频），如遇问题无法解决可直接联系软件公司咨询，内蒙古自治区金财公司技术支持：4000471010。6、由于本项目采用电子系统招标，竞争性磋商文件为系统模板，根据具体项目的情况无法准确描述，部分内容只可填空，不可更改。所以竞争性磋商文件中有不适用之处，敬请见谅。如有问题，请及时联系采购代理机构。 7、本项目为远程开标，供应商需提前半小时登录系统签到，开标时远程解锁、确认。开标时，各供应商必须保证电脑可正常登陆、解密及签章。本项目设置解密、签章确认时限均为30分钟，如供应商在规定时间内无法解密或签章，造成废标的，采购人及采购代理机构不承担任何责任。 8、关于纸质响应文件的要求： 电子文件：网上上传电子文件1份，开标结束后，需将不加密响应文件电子版发送至代理机构邮箱nmgjcjs163.com，注明项目名称和单位名称。 注： 关于纸质响应文件的说明：供应商中标后，须于中标结果公告后提供与电子响应文件内容完全一致的纸质响应文件3份（用于备案存档）。纸质响应文件要求由响应文件制作工具直接打印（内容必须完整）、装订后并加盖单位公章，如与电子版响应文件内容不一致所引起一切法律责任及不良后果，由供应商自行承担，并记入诚信档案。纸质响应文件中所有要求盖章、签字的地方都按“竞争性磋商文件”中“签字、盖章要求”执行。打印注意事项：纸质响应文件要以胶装形式牢固装订。按竞争性磋商文件中响应文件格式”的顺序装订成册，牢固装订是指装订好的响应文件不至于在翻阅时散开或用简单的方式将其中一项取出或将其他文件插入，各种活页装订、打孔式、塑料方便式书脊插入装订的不认为是牢固装订。</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包头仲裁委员会秘书处</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内蒙古金晨建设项目管理有限公司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包头仲裁委员会秘书处所需工作人员的人员派 遣、工资代发、社保和住房公积金的代扣代缴、个人所得税的代扣代缴。</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服务周期三年，合同一年一签，第二、三年续签。</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甲方要求地点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1、根据每月实际提供人数情况结算，按月支付，达到付款条件起7日，支付合同总金额的8.30%</w:t>
            </w:r>
          </w:p>
          <w:p>
            <w:pPr>
              <w:pStyle w:val="null5"/>
              <w:jc w:val="left"/>
            </w:pPr>
            <w:r>
              <w:rPr>
                <w:rFonts w:ascii="仿宋_GB2312" w:hAnsi="仿宋_GB2312" w:cs="仿宋_GB2312" w:eastAsia="仿宋_GB2312"/>
              </w:rPr>
              <w:t>2、根据每月实际提供人数情况结算，按月支付，达到付款条件起7日，支付合同总金额的8.30%</w:t>
            </w:r>
          </w:p>
          <w:p>
            <w:pPr>
              <w:pStyle w:val="null5"/>
              <w:jc w:val="left"/>
            </w:pPr>
            <w:r>
              <w:rPr>
                <w:rFonts w:ascii="仿宋_GB2312" w:hAnsi="仿宋_GB2312" w:cs="仿宋_GB2312" w:eastAsia="仿宋_GB2312"/>
              </w:rPr>
              <w:t>3、根据每月实际提供人数情况结算，按月支付，达到付款条件起7日，支付合同总金额的8.30%</w:t>
            </w:r>
          </w:p>
          <w:p>
            <w:pPr>
              <w:pStyle w:val="null5"/>
              <w:jc w:val="left"/>
            </w:pPr>
            <w:r>
              <w:rPr>
                <w:rFonts w:ascii="仿宋_GB2312" w:hAnsi="仿宋_GB2312" w:cs="仿宋_GB2312" w:eastAsia="仿宋_GB2312"/>
              </w:rPr>
              <w:t>4、根据每月实际提供人数情况结算，按月支付，达到付款条件起7日，支付合同总金额的8.30%</w:t>
            </w:r>
          </w:p>
          <w:p>
            <w:pPr>
              <w:pStyle w:val="null5"/>
              <w:jc w:val="left"/>
            </w:pPr>
            <w:r>
              <w:rPr>
                <w:rFonts w:ascii="仿宋_GB2312" w:hAnsi="仿宋_GB2312" w:cs="仿宋_GB2312" w:eastAsia="仿宋_GB2312"/>
              </w:rPr>
              <w:t>5、根据每月实际提供人数情况结算，按月支付，达到付款条件起7日，支付合同总金额的8.30%</w:t>
            </w:r>
          </w:p>
          <w:p>
            <w:pPr>
              <w:pStyle w:val="null5"/>
              <w:jc w:val="left"/>
            </w:pPr>
            <w:r>
              <w:rPr>
                <w:rFonts w:ascii="仿宋_GB2312" w:hAnsi="仿宋_GB2312" w:cs="仿宋_GB2312" w:eastAsia="仿宋_GB2312"/>
              </w:rPr>
              <w:t>6、根据每月实际提供人数情况结算，按月支付，达到付款条件起7日，支付合同总金额的8.30%</w:t>
            </w:r>
          </w:p>
          <w:p>
            <w:pPr>
              <w:pStyle w:val="null5"/>
              <w:jc w:val="left"/>
            </w:pPr>
            <w:r>
              <w:rPr>
                <w:rFonts w:ascii="仿宋_GB2312" w:hAnsi="仿宋_GB2312" w:cs="仿宋_GB2312" w:eastAsia="仿宋_GB2312"/>
              </w:rPr>
              <w:t>7、根据每月实际提供人数情况结算，按月支付，达到付款条件起7日，支付合同总金额的8.30%</w:t>
            </w:r>
          </w:p>
          <w:p>
            <w:pPr>
              <w:pStyle w:val="null5"/>
              <w:jc w:val="left"/>
            </w:pPr>
            <w:r>
              <w:rPr>
                <w:rFonts w:ascii="仿宋_GB2312" w:hAnsi="仿宋_GB2312" w:cs="仿宋_GB2312" w:eastAsia="仿宋_GB2312"/>
              </w:rPr>
              <w:t>8、根据每月实际提供人数情况结算，按月支付，达到付款条件起7日，支付合同总金额的8.30%</w:t>
            </w:r>
          </w:p>
          <w:p>
            <w:pPr>
              <w:pStyle w:val="null5"/>
              <w:jc w:val="left"/>
            </w:pPr>
            <w:r>
              <w:rPr>
                <w:rFonts w:ascii="仿宋_GB2312" w:hAnsi="仿宋_GB2312" w:cs="仿宋_GB2312" w:eastAsia="仿宋_GB2312"/>
              </w:rPr>
              <w:t>9、根据每月实际提供人数情况结算，按月支付，达到付款条件起7日，支付合同总金额的8.30%</w:t>
            </w:r>
          </w:p>
          <w:p>
            <w:pPr>
              <w:pStyle w:val="null5"/>
              <w:jc w:val="left"/>
            </w:pPr>
            <w:r>
              <w:rPr>
                <w:rFonts w:ascii="仿宋_GB2312" w:hAnsi="仿宋_GB2312" w:cs="仿宋_GB2312" w:eastAsia="仿宋_GB2312"/>
              </w:rPr>
              <w:t>10、根据每月实际提供人数情况结算，按月支付，达到付款条件起7日，支付合同总金额的8.30%</w:t>
            </w:r>
          </w:p>
          <w:p>
            <w:pPr>
              <w:pStyle w:val="null5"/>
              <w:jc w:val="left"/>
            </w:pPr>
            <w:r>
              <w:rPr>
                <w:rFonts w:ascii="仿宋_GB2312" w:hAnsi="仿宋_GB2312" w:cs="仿宋_GB2312" w:eastAsia="仿宋_GB2312"/>
              </w:rPr>
              <w:t>11、根据每月实际提供人数情况结算，按月支付，达到付款条件起7日，支付合同总金额的8.30%</w:t>
            </w:r>
          </w:p>
          <w:p>
            <w:pPr>
              <w:pStyle w:val="null5"/>
              <w:jc w:val="left"/>
            </w:pPr>
            <w:r>
              <w:rPr>
                <w:rFonts w:ascii="仿宋_GB2312" w:hAnsi="仿宋_GB2312" w:cs="仿宋_GB2312" w:eastAsia="仿宋_GB2312"/>
              </w:rPr>
              <w:t>12、根据每月实际提供人数情况结算，按月支付，达到付款条件起7日，支付合同总金额的8.70%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标的名称：包头仲裁委员会秘书处劳务派遣服务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w:t>
            </w:r>
            <w:r>
              <w:rPr>
                <w:rFonts w:ascii="仿宋_GB2312" w:hAnsi="仿宋_GB2312" w:cs="仿宋_GB2312" w:eastAsia="仿宋_GB2312"/>
                <w:sz w:val="24"/>
              </w:rPr>
              <w:t>项目</w:t>
            </w:r>
            <w:r>
              <w:rPr>
                <w:rFonts w:ascii="仿宋_GB2312" w:hAnsi="仿宋_GB2312" w:cs="仿宋_GB2312" w:eastAsia="仿宋_GB2312"/>
                <w:sz w:val="24"/>
              </w:rPr>
              <w:t>采购概况</w:t>
            </w:r>
            <w:r>
              <w:rPr>
                <w:rFonts w:ascii="仿宋_GB2312" w:hAnsi="仿宋_GB2312" w:cs="仿宋_GB2312" w:eastAsia="仿宋_GB2312"/>
                <w:sz w:val="24"/>
              </w:rPr>
              <w:t>：包头仲裁委员会秘书处所需工作人员的人员派遣、工资代发、社保和住房公积金的代扣代缴、个人所得税的代扣代缴。</w:t>
            </w:r>
          </w:p>
          <w:p>
            <w:pPr>
              <w:pStyle w:val="null5"/>
              <w:ind w:left="435"/>
              <w:jc w:val="left"/>
            </w:pPr>
            <w:r>
              <w:rPr>
                <w:rFonts w:ascii="仿宋_GB2312" w:hAnsi="仿宋_GB2312" w:cs="仿宋_GB2312" w:eastAsia="仿宋_GB2312"/>
                <w:sz w:val="24"/>
              </w:rPr>
              <w:t>二、岗位人员工资、保险标准明细表</w:t>
            </w:r>
          </w:p>
          <w:tbl>
            <w:tblPr>
              <w:tblBorders>
                <w:top w:val="none" w:color="000000" w:sz="4"/>
                <w:left w:val="none" w:color="000000" w:sz="4"/>
                <w:bottom w:val="none" w:color="000000" w:sz="4"/>
                <w:right w:val="none" w:color="000000" w:sz="4"/>
                <w:insideH w:val="none"/>
                <w:insideV w:val="none"/>
              </w:tblBorders>
            </w:tblPr>
            <w:tblGrid>
              <w:gridCol w:w="425"/>
              <w:gridCol w:w="313"/>
              <w:gridCol w:w="317"/>
              <w:gridCol w:w="468"/>
              <w:gridCol w:w="425"/>
              <w:gridCol w:w="348"/>
              <w:gridCol w:w="247"/>
            </w:tblGrid>
            <w:tr>
              <w:tc>
                <w:tcPr>
                  <w:tcW w:type="dxa" w:w="2543"/>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b/>
                      <w:color w:val="000000"/>
                    </w:rPr>
                    <w:t>岗位人员工资、保险标准明细表</w:t>
                  </w:r>
                </w:p>
              </w:tc>
            </w:tr>
            <w:tr>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b/>
                      <w:color w:val="000000"/>
                    </w:rPr>
                    <w:t>岗位</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b/>
                      <w:color w:val="000000"/>
                    </w:rPr>
                    <w:t>人数</w:t>
                  </w:r>
                </w:p>
              </w:tc>
              <w:tc>
                <w:tcPr>
                  <w:tcW w:type="dxa" w:w="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b/>
                      <w:color w:val="000000"/>
                    </w:rPr>
                    <w:t>平均工资标准（元</w:t>
                  </w:r>
                  <w:r>
                    <w:rPr>
                      <w:rFonts w:ascii="仿宋_GB2312" w:hAnsi="仿宋_GB2312" w:cs="仿宋_GB2312" w:eastAsia="仿宋_GB2312"/>
                      <w:sz w:val="22"/>
                      <w:b/>
                      <w:color w:val="000000"/>
                    </w:rPr>
                    <w:t>/人/月）</w:t>
                  </w:r>
                </w:p>
              </w:tc>
              <w:tc>
                <w:tcPr>
                  <w:tcW w:type="dxa" w:w="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b/>
                      <w:color w:val="000000"/>
                    </w:rPr>
                    <w:t>社会保险</w:t>
                  </w:r>
                  <w:r>
                    <w:br/>
                  </w:r>
                  <w:r>
                    <w:rPr>
                      <w:rFonts w:ascii="仿宋_GB2312" w:hAnsi="仿宋_GB2312" w:cs="仿宋_GB2312" w:eastAsia="仿宋_GB2312"/>
                      <w:sz w:val="22"/>
                      <w:b/>
                      <w:color w:val="000000"/>
                    </w:rPr>
                    <w:t>（元</w:t>
                  </w:r>
                  <w:r>
                    <w:rPr>
                      <w:rFonts w:ascii="仿宋_GB2312" w:hAnsi="仿宋_GB2312" w:cs="仿宋_GB2312" w:eastAsia="仿宋_GB2312"/>
                      <w:sz w:val="22"/>
                      <w:b/>
                      <w:color w:val="000000"/>
                    </w:rPr>
                    <w:t>/人/月）</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b/>
                      <w:color w:val="000000"/>
                    </w:rPr>
                    <w:t>住房公积金（元</w:t>
                  </w:r>
                  <w:r>
                    <w:rPr>
                      <w:rFonts w:ascii="仿宋_GB2312" w:hAnsi="仿宋_GB2312" w:cs="仿宋_GB2312" w:eastAsia="仿宋_GB2312"/>
                      <w:sz w:val="22"/>
                      <w:b/>
                      <w:color w:val="000000"/>
                    </w:rPr>
                    <w:t>/人/月）</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b/>
                      <w:color w:val="000000"/>
                    </w:rPr>
                    <w:t>商业保险（元</w:t>
                  </w:r>
                  <w:r>
                    <w:rPr>
                      <w:rFonts w:ascii="仿宋_GB2312" w:hAnsi="仿宋_GB2312" w:cs="仿宋_GB2312" w:eastAsia="仿宋_GB2312"/>
                      <w:sz w:val="22"/>
                      <w:b/>
                      <w:color w:val="000000"/>
                    </w:rPr>
                    <w:t>/人/月）</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b/>
                      <w:color w:val="000000"/>
                    </w:rPr>
                    <w:t>备注</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仲裁秘书</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4人</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5300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1339.42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仲裁秘书</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1人</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6300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1339.42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办公室文员</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1人</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5300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1339.42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档案室管理员</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1人</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1339.42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办公室文员</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1人</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1339.42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业务专家</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3人</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5500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70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会计</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1人</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6000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70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出纳</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1人</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6000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70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业务专家</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1人</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5800</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70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总计</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14人</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5"/>
              <w:jc w:val="left"/>
            </w:pPr>
            <w:r>
              <w:rPr>
                <w:rFonts w:ascii="仿宋_GB2312" w:hAnsi="仿宋_GB2312" w:cs="仿宋_GB2312" w:eastAsia="仿宋_GB2312"/>
                <w:sz w:val="24"/>
              </w:rPr>
              <w:t>三、服务内容：</w:t>
            </w:r>
          </w:p>
          <w:p>
            <w:pPr>
              <w:pStyle w:val="null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）人员招聘：根据包头仲裁委员会秘书处需求，发布招聘公告，筛选符合条件的应聘者，并进行面试与评估。</w:t>
            </w:r>
          </w:p>
          <w:p>
            <w:pPr>
              <w:pStyle w:val="null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）培训与考核：对新入职员工进行岗前培训，确保其具备相应的工作能力。定期对员工进行绩效考核，以提高工作质量。</w:t>
            </w:r>
          </w:p>
          <w:p>
            <w:pPr>
              <w:pStyle w:val="null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）人事管理：负责员工的入职、离职、调岗等人事手续办理，以及员工档案的建立与管理。</w:t>
            </w:r>
          </w:p>
          <w:p>
            <w:pPr>
              <w:pStyle w:val="null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）薪酬待遇：按照国家规定和包头仲裁委员会秘书处要求，为员工制定合理的薪酬方案，按时发放工资。</w:t>
            </w:r>
          </w:p>
          <w:p>
            <w:pPr>
              <w:pStyle w:val="null5"/>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）劳动关系协调：协助处理员工与包头仲裁委员会秘书处之间的劳动争议，维护双方合法权益。</w:t>
            </w:r>
          </w:p>
          <w:p>
            <w:pPr>
              <w:pStyle w:val="null5"/>
              <w:jc w:val="left"/>
            </w:pPr>
            <w:r>
              <w:rPr>
                <w:rFonts w:ascii="仿宋_GB2312" w:hAnsi="仿宋_GB2312" w:cs="仿宋_GB2312" w:eastAsia="仿宋_GB2312"/>
                <w:sz w:val="24"/>
              </w:rPr>
              <w:t>四</w:t>
            </w:r>
            <w:r>
              <w:rPr>
                <w:rFonts w:ascii="仿宋_GB2312" w:hAnsi="仿宋_GB2312" w:cs="仿宋_GB2312" w:eastAsia="仿宋_GB2312"/>
                <w:sz w:val="24"/>
              </w:rPr>
              <w:t>、其他要求：</w:t>
            </w:r>
          </w:p>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要求所雇佣人员薪资必须与要求一致，不允许变动。</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所有人员必须按甲方要求时间内前完成筛选并到岗。</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选聘人员如不符合甲方要求或无法胜任其岗位要求，甲方有权利要求外包公司更换满足其岗位要求的服务人员。</w:t>
            </w:r>
          </w:p>
          <w:p>
            <w:pPr>
              <w:pStyle w:val="null5"/>
              <w:jc w:val="left"/>
            </w:pPr>
            <w:r>
              <w:rPr>
                <w:rFonts w:ascii="仿宋_GB2312" w:hAnsi="仿宋_GB2312" w:cs="仿宋_GB2312" w:eastAsia="仿宋_GB2312"/>
                <w:sz w:val="24"/>
              </w:rPr>
              <w:t>五、服务标准：</w:t>
            </w:r>
            <w:r>
              <w:rPr>
                <w:rFonts w:ascii="仿宋_GB2312" w:hAnsi="仿宋_GB2312" w:cs="仿宋_GB2312" w:eastAsia="仿宋_GB2312"/>
                <w:sz w:val="24"/>
                <w:color w:val="000000"/>
              </w:rPr>
              <w:t>符合国家及行业标准，满足采购人要求</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p>
            <w:pPr>
              <w:pStyle w:val="null5"/>
              <w:jc w:val="left"/>
            </w:pP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审查供应商2022年度或2023年度经会计师事务所出具的财务审计报告或其基本开户银行出具的近一年内的银行资信证明，以上形式的证明资料提供任何一种即可。</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提供递交响应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审查供应商提供的具有履行合同所必需的设备和专业技术能力的证明材料或书面声明函。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资格审查时，供应商未被列入失信被执行人、重大税收违法失信主体、政府采购严重违法失信行为记录名单。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提供项目服务方案的全面性、专业性、系统性、合理性、规范性、实施计划安排、质量保证计划和标准、验收计划，方案考虑周全、重点突出，进行比较，（1）内容严谨、全面、详细、合理，可操作性强，得10分；（2）内容较严谨、较详细、较合理，可操作性较强，得6分；（3）内容基本合理，存在少量缺漏，可操作性较差，得3分；（4）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人员管理方案</w:t>
            </w:r>
          </w:p>
        </w:tc>
        <w:tc>
          <w:tcPr>
            <w:tcW w:type="dxa" w:w="3115"/>
          </w:tcPr>
          <w:p>
            <w:pPr>
              <w:pStyle w:val="null5"/>
              <w:jc w:val="left"/>
            </w:pPr>
            <w:r>
              <w:rPr>
                <w:rFonts w:ascii="仿宋_GB2312" w:hAnsi="仿宋_GB2312" w:cs="仿宋_GB2312" w:eastAsia="仿宋_GB2312"/>
              </w:rPr>
              <w:t>劳务派遣人员的人事、社会保险、工资等人事管理工作方案进行综合评定，（1）内容严谨、全面、详细、合理，可操作性强，得10分；（2）内容较严谨、较详细、较合理，可操作性较强，得6分；（3）内容基本合理，存在少量缺漏，可操作性较差，得3分；（4）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工资发放方案</w:t>
            </w:r>
          </w:p>
        </w:tc>
        <w:tc>
          <w:tcPr>
            <w:tcW w:type="dxa" w:w="3115"/>
          </w:tcPr>
          <w:p>
            <w:pPr>
              <w:pStyle w:val="null5"/>
              <w:jc w:val="left"/>
            </w:pPr>
            <w:r>
              <w:rPr>
                <w:rFonts w:ascii="仿宋_GB2312" w:hAnsi="仿宋_GB2312" w:cs="仿宋_GB2312" w:eastAsia="仿宋_GB2312"/>
              </w:rPr>
              <w:t>对员工工资发放时效性方案进行综合评定，（1）内容严谨、全面、详细、合理，可操作性强，得10分；（2）内容较严谨、较详细、较合理，可操作性较强，得6分；（3）内容基本合理，存在少量缺漏，可操作性较差，得3分；（4）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培训和考核制度</w:t>
            </w:r>
          </w:p>
        </w:tc>
        <w:tc>
          <w:tcPr>
            <w:tcW w:type="dxa" w:w="3115"/>
          </w:tcPr>
          <w:p>
            <w:pPr>
              <w:pStyle w:val="null5"/>
              <w:jc w:val="left"/>
            </w:pPr>
            <w:r>
              <w:rPr>
                <w:rFonts w:ascii="仿宋_GB2312" w:hAnsi="仿宋_GB2312" w:cs="仿宋_GB2312" w:eastAsia="仿宋_GB2312"/>
              </w:rPr>
              <w:t>劳务派遣人员培训和考核制度，明确培训的目标、内容、培训方式；考核内容设定科学、合理等方面进行综合评定，（1）内容严谨、全面、详细、合理，可操作性强，得10分；（2）内容较严谨、较详细、较合理，可操作性较强，得6分；（3）内容基本合理，存在少量缺漏，可操作性较差，得3分；(4)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安全保障措施</w:t>
            </w:r>
          </w:p>
        </w:tc>
        <w:tc>
          <w:tcPr>
            <w:tcW w:type="dxa" w:w="3115"/>
          </w:tcPr>
          <w:p>
            <w:pPr>
              <w:pStyle w:val="null5"/>
              <w:jc w:val="left"/>
            </w:pPr>
            <w:r>
              <w:rPr>
                <w:rFonts w:ascii="仿宋_GB2312" w:hAnsi="仿宋_GB2312" w:cs="仿宋_GB2312" w:eastAsia="仿宋_GB2312"/>
              </w:rPr>
              <w:t>综合对比投标人针对本项目制定的安全保障措施是否全面、合理、切实可行等方面进行综合评定，（1）内容严谨、全面、详细、合理，可操作性强，得10分；（2）内容较严谨、较详细、较合理，可操作性较强，得6分；（3）内容基本合理，存在少量缺漏，可操作性较差，得3分；（4）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工伤意外方案</w:t>
            </w:r>
          </w:p>
        </w:tc>
        <w:tc>
          <w:tcPr>
            <w:tcW w:type="dxa" w:w="3115"/>
          </w:tcPr>
          <w:p>
            <w:pPr>
              <w:pStyle w:val="null5"/>
              <w:jc w:val="left"/>
            </w:pPr>
            <w:r>
              <w:rPr>
                <w:rFonts w:ascii="仿宋_GB2312" w:hAnsi="仿宋_GB2312" w:cs="仿宋_GB2312" w:eastAsia="仿宋_GB2312"/>
              </w:rPr>
              <w:t>具有处理派遣员工提出的工伤处理、意外纠纷处理等事宜的方案，合理稳妥等方面进行综合评定，（1）内容严谨、全面、详细 、合理，可操作性强，得10分；（2）内容较严谨、较详细、较合理，可操作性较强，得6分；（3）内容基本合理，存在少量缺漏，可操作性较差，得3分；（4）不提供不得分；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对突发事件有完善的应急方案等方面进行综合评定，（1）内容严谨、全面、详细、合理，可操作性强，得10分；（2）内容较严谨、较详细、较合理，可操作性较强，得6分；（3）内容基本合理，存在少量缺漏，可操作性较差，得3分。（4）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类似业绩情况</w:t>
            </w:r>
          </w:p>
        </w:tc>
        <w:tc>
          <w:tcPr>
            <w:tcW w:type="dxa" w:w="3115"/>
          </w:tcPr>
          <w:p>
            <w:pPr>
              <w:pStyle w:val="null5"/>
              <w:jc w:val="left"/>
            </w:pPr>
            <w:r>
              <w:rPr>
                <w:rFonts w:ascii="仿宋_GB2312" w:hAnsi="仿宋_GB2312" w:cs="仿宋_GB2312" w:eastAsia="仿宋_GB2312"/>
              </w:rPr>
              <w:t>投标单位2022年1月1日至今有类似项目业绩（劳务派遣业绩或人才派遣业绩）的，有一项得2分，最多得12分。（投标文件须附合同或中标通知书扫描件；以合同签订日期或中标通知书日期为准）；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项目人员配备情况</w:t>
            </w:r>
          </w:p>
        </w:tc>
        <w:tc>
          <w:tcPr>
            <w:tcW w:type="dxa" w:w="3115"/>
          </w:tcPr>
          <w:p>
            <w:pPr>
              <w:pStyle w:val="null5"/>
              <w:jc w:val="left"/>
            </w:pPr>
            <w:r>
              <w:rPr>
                <w:rFonts w:ascii="仿宋_GB2312" w:hAnsi="仿宋_GB2312" w:cs="仿宋_GB2312" w:eastAsia="仿宋_GB2312"/>
              </w:rPr>
              <w:t>根据项目实施配备人员基本情况，机构设置合理、完整、符合行业规范要求，满足项目服务管理需要，可以履行项目服务质量承诺保证等进行综合评定，（1）内容严谨、全面、详细、合理，可操作性强，得5分；（2）内容较严谨、较详细、较合理，可操作性较强，得3分；（3）内容基本合理，存在少量缺漏，可操作性较差，得1分；（4）不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纳税信用等级</w:t>
            </w:r>
          </w:p>
        </w:tc>
        <w:tc>
          <w:tcPr>
            <w:tcW w:type="dxa" w:w="3115"/>
          </w:tcPr>
          <w:p>
            <w:pPr>
              <w:pStyle w:val="null5"/>
              <w:jc w:val="left"/>
            </w:pPr>
            <w:r>
              <w:rPr>
                <w:rFonts w:ascii="仿宋_GB2312" w:hAnsi="仿宋_GB2312" w:cs="仿宋_GB2312" w:eastAsia="仿宋_GB2312"/>
              </w:rPr>
              <w:t>根据投标单位提供的2021年度至今国家税务总局（https://www.chinatax.gov.cn/）纳税信用A级纳税人名单，每提供一年得1分，最多得3分。（截图可提供“国家税务总局”官方网站-纳税服务-“纳税信用A级纳税人名单”-网页 查询截图）。</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投标报价得分＝（评标基准价/投标报价）×价格分值【注：满足竞争性磋商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