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石拐区科创大道等管网及基础设施建设项目（交通栏杆、标志牌、电子警察及交通信号等）</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石拐区科创成果转移转化服务中心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内蒙古中和致信项目管理有限公司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BTZCSGS-C-G-250004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内蒙古中和致信项目管理有限公司</w:t>
      </w:r>
      <w:r>
        <w:rPr>
          <w:rFonts w:ascii="仿宋_GB2312" w:hAnsi="仿宋_GB2312" w:cs="仿宋_GB2312" w:eastAsia="仿宋_GB2312"/>
        </w:rPr>
        <w:t xml:space="preserve"> 受 </w:t>
      </w:r>
      <w:r>
        <w:rPr>
          <w:rFonts w:ascii="仿宋_GB2312" w:hAnsi="仿宋_GB2312" w:cs="仿宋_GB2312" w:eastAsia="仿宋_GB2312"/>
        </w:rPr>
        <w:t>石拐区科创成果转移转化服务中心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石拐区科创大道等管网及基础设施建设项目（交通栏杆、标志牌、电子警察及交通信号等）</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石拐区科创大道等管网及基础设施建设项目（交通栏杆、标志牌、电子警察及交通信号等）</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BTZCSGS-C-G-250004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包政采计划[2025]石拐00012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1,841,293.00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石拐区科创大道等管网及基础设施建设项目（交通栏杆、标志牌、电子警察及交通信号等）</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1,841,293.00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1）供应商须具有建设行政主管部门核发的市政公用工程施工总承包三级（含）以上资质，且具有有效的安全生产许可证（证件如遇过期，未办理或正在办理延期的，须提供主管部门发布的延期通知或资质延续名单的公告或相应文件）。 （2）供应商拟派项目经理须具有市政公用工程专业二级（含）以上注册建造师证书，且具备有效的安全生产考核合格证书，且不得担任其他在施项目的项目经理。 如项目经理为一级注册建造师，应按照《住房和城乡建设部办公厅关于全面实行一级建造师电子注册证书的通知》[建办市〔2021〕40 号]文件要求提供电子注册证书，①电子证书使用时限为 180 天，但使用时限距注册专业有效期或建造师满 65 周岁不足 180 天的，使用时限截止日期以注册专业有效期截止日期或建造师满 65 周岁当日为准。超出使用时限的电子证书无效，需重新下载电子证书并再次确认使用时限。②一级建造师打印电子证书后，应在个人签名处手写本人签名，未手写签名或与签名图像笔迹不一致的，该电子证书无效。如项目经理为二级注册建造师，应按照《内蒙古自治区住房和城乡建设厅关于开展二级建造师延续注册和规范电子证书使用有关工作的通知》[内建行函〔2022〕508 号]文件要求提供电子注册证书，①2023 年 1 月 1 日起，无个人签名、不显示注册有效期的证书失效。②打印电子证书后，在个人签名处手写本人签名，未手写签名或与签名图像笔迹不一致的，该证书无效。</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内蒙古中和致信项目管理有限公司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内蒙古自治区包头市稀土高新区金融广场A座22层2218室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014060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18547247714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石拐区科创成果转移转化服务中心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包头市石拐区喜桂图新区党政大厦A座505室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014070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王欣慧</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0472-8716111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代理服务费收费标准：招标代理服务费参照内蒙古自治区工程建设协会文件【内工建协（2022）34 号】规定的收费标准收取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1.本项目为电子投标，制作响应文件时请到自治区采购网首页自行学习操作方法 (网站上有操作视频) ，如遇问题无法解决可直接联系软件公司咨询，包头技术支持0472-5228688，内蒙古自治区财政厅技术支持：0471-4192304，内蒙古自治区金财公司技术支持400-0471-010 。2、由于本项目采用电子系统招标，竞争性磋商文件为系统模板，根据具体项目的情况无法准确描述，部分内容只可填空，不可更改。所以竞争性磋商文件中有不适用之处，敬请见谅。如有问题，请及时联系采购代理机构。3、本项目设置解密、签章、确认、最后报价的时间均为30分钟，如供应商在规定时间内无法解密或签章，造成废标的，采购人及采购代理机构不承担任何责任。4、最终报价环节30分钟，供应商需在系统中上传最后报价，不上传或者上传不完整，或未按时间上传，造成废标的，采购人及采购代理机构不承担任何责任。5、关于标书的说明：供应商中标后，须于成交结果公告后提供与电子响应文件内容完全一致的纸质响 应文件3份 (用于备案存档) 。纸质响应文件要求由投标文件制作工具直接打印(内容必须完整) 、装订后并加盖单位公章，如与电子版响应文件内容不一致 所引起一切法律责任及不良后果，由供应商自行承担，并记入诚信档案。纸质 响应文件中所有要求盖章、签字的地方都按“竞争性磋商件”中“签字、盖章要 求”执行。打印注意事项：纸质响应文件要以胶装形式牢固装订。按竞争性磋商 文件中响应文件格式”的顺序装订成册，牢固装订是指装订好的响应文件不至于在翻阅时散开或用简单的方式将其中一项取出或将其他文件插入各种活页装订打孔式塑料方便式书脊插入装订的不认为是牢固装订。6、合同融资，为支持和促进中小企业发展，切实解决企业融资难问题，包头市政府采购项目已开通合同融资渠道，供应商中标后可通过中标合同向相关银行发起无抵押无担保融资申请，银行根据企业中标信息发放贷款，帮助企业解决融资问题。相关资料可阅：http://39.104.85.103/zcdservice/zcd/neimeng。</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石拐区科创成果转移转化服务中心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内蒙古中和致信项目管理有限公司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石拐区科创大道等管网及基础设施建设项目（交通栏杆、标志牌、电子警察及交通信号等），包括交通土方、交通栏杆、标志牌、电子警察及 交通信号等；具体工程内容详见工程量清单。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工期：2025年3月15日至2025年6月30日</w:t>
              <w:br/>
              <w:t>施工地点：石拐区科创园区</w:t>
              <w:br/>
              <w:t>质量标准：符合国家工程验收合格标准</w:t>
              <w:br/>
              <w:t>安全标准：符合国家工程安全标准</w:t>
              <w:br/>
              <w:t>验收要求：按照国家相关验收规范进行验收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1、工程进度款按月申请进度并予以支付。进度款按照发包人、承包人、监理、审计会签意见确定的实际进度工程造价的80%支付，累计支付不得超过合同价的80%，达到付款条件起30日，支付合同总金额的80.00%</w:t>
            </w:r>
          </w:p>
          <w:p>
            <w:pPr>
              <w:pStyle w:val="null5"/>
              <w:jc w:val="left"/>
            </w:pPr>
            <w:r>
              <w:rPr>
                <w:rFonts w:ascii="仿宋_GB2312" w:hAnsi="仿宋_GB2312" w:cs="仿宋_GB2312" w:eastAsia="仿宋_GB2312"/>
              </w:rPr>
              <w:t>2、竣工验收合格结算审价后支付至结算价的97%，达到付款条件起30日，支付合同总金额的17.00%</w:t>
            </w:r>
          </w:p>
          <w:p>
            <w:pPr>
              <w:pStyle w:val="null5"/>
              <w:jc w:val="left"/>
            </w:pPr>
            <w:r>
              <w:rPr>
                <w:rFonts w:ascii="仿宋_GB2312" w:hAnsi="仿宋_GB2312" w:cs="仿宋_GB2312" w:eastAsia="仿宋_GB2312"/>
              </w:rPr>
              <w:t>3、缺陷责任期结束后，无任何质量问题，支付剩余3% ，达到付款条件起30日，支付合同总金额的3.00%</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标的名称：石拐区科创大道等管网及基础设施建设项目（交通栏杆、标志牌、电子警察及交通信号等）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一、工程量清单编制说明 </w:t>
            </w:r>
            <w:r>
              <w:br/>
            </w:r>
            <w:r>
              <w:rPr>
                <w:rFonts w:ascii="仿宋_GB2312" w:hAnsi="仿宋_GB2312" w:cs="仿宋_GB2312" w:eastAsia="仿宋_GB2312"/>
              </w:rPr>
              <w:t xml:space="preserve"> （一）工程量依据： </w:t>
            </w:r>
            <w:r>
              <w:br/>
            </w:r>
            <w:r>
              <w:rPr>
                <w:rFonts w:ascii="仿宋_GB2312" w:hAnsi="仿宋_GB2312" w:cs="仿宋_GB2312" w:eastAsia="仿宋_GB2312"/>
              </w:rPr>
              <w:t xml:space="preserve"> 1、委托方提供的关于本工程的设计施工图； </w:t>
            </w:r>
            <w:r>
              <w:br/>
            </w:r>
            <w:r>
              <w:rPr>
                <w:rFonts w:ascii="仿宋_GB2312" w:hAnsi="仿宋_GB2312" w:cs="仿宋_GB2312" w:eastAsia="仿宋_GB2312"/>
              </w:rPr>
              <w:t xml:space="preserve"> 2、与本工程有关的标准（包括标准图集）、规范、技术资料。 </w:t>
            </w:r>
            <w:r>
              <w:br/>
            </w:r>
            <w:r>
              <w:rPr>
                <w:rFonts w:ascii="仿宋_GB2312" w:hAnsi="仿宋_GB2312" w:cs="仿宋_GB2312" w:eastAsia="仿宋_GB2312"/>
              </w:rPr>
              <w:t xml:space="preserve"> （二）法律法规文件： </w:t>
            </w:r>
            <w:r>
              <w:br/>
            </w:r>
            <w:r>
              <w:rPr>
                <w:rFonts w:ascii="仿宋_GB2312" w:hAnsi="仿宋_GB2312" w:cs="仿宋_GB2312" w:eastAsia="仿宋_GB2312"/>
              </w:rPr>
              <w:t xml:space="preserve"> 1、《工程造价咨询业务操作指导规程》； </w:t>
            </w:r>
            <w:r>
              <w:br/>
            </w:r>
            <w:r>
              <w:rPr>
                <w:rFonts w:ascii="仿宋_GB2312" w:hAnsi="仿宋_GB2312" w:cs="仿宋_GB2312" w:eastAsia="仿宋_GB2312"/>
              </w:rPr>
              <w:t xml:space="preserve"> 2、《工程造价咨询单位执业行为准则》； </w:t>
            </w:r>
            <w:r>
              <w:br/>
            </w:r>
            <w:r>
              <w:rPr>
                <w:rFonts w:ascii="仿宋_GB2312" w:hAnsi="仿宋_GB2312" w:cs="仿宋_GB2312" w:eastAsia="仿宋_GB2312"/>
              </w:rPr>
              <w:t xml:space="preserve"> 3、《建设工程造价咨询规范》GB/T51095-2015。 </w:t>
            </w:r>
            <w:r>
              <w:br/>
            </w:r>
            <w:r>
              <w:rPr>
                <w:rFonts w:ascii="仿宋_GB2312" w:hAnsi="仿宋_GB2312" w:cs="仿宋_GB2312" w:eastAsia="仿宋_GB2312"/>
              </w:rPr>
              <w:t xml:space="preserve"> （三）内蒙古自治区建设厅颁布的标准、规范及相关文件： </w:t>
            </w:r>
            <w:r>
              <w:br/>
            </w:r>
            <w:r>
              <w:rPr>
                <w:rFonts w:ascii="仿宋_GB2312" w:hAnsi="仿宋_GB2312" w:cs="仿宋_GB2312" w:eastAsia="仿宋_GB2312"/>
              </w:rPr>
              <w:t xml:space="preserve"> 1、《建设工程工程量清单计价规范》GB50500-2013 及解释和勘误； </w:t>
            </w:r>
            <w:r>
              <w:br/>
            </w:r>
            <w:r>
              <w:rPr>
                <w:rFonts w:ascii="仿宋_GB2312" w:hAnsi="仿宋_GB2312" w:cs="仿宋_GB2312" w:eastAsia="仿宋_GB2312"/>
              </w:rPr>
              <w:t xml:space="preserve"> 2、2017 年《内蒙古自治区市政工程预算定额》； </w:t>
            </w:r>
            <w:r>
              <w:br/>
            </w:r>
            <w:r>
              <w:rPr>
                <w:rFonts w:ascii="仿宋_GB2312" w:hAnsi="仿宋_GB2312" w:cs="仿宋_GB2312" w:eastAsia="仿宋_GB2312"/>
              </w:rPr>
              <w:t xml:space="preserve"> 3、2017 年《内蒙古自治区房屋建筑与装饰工程预算定额》；</w:t>
            </w:r>
          </w:p>
          <w:p>
            <w:pPr>
              <w:pStyle w:val="null5"/>
              <w:jc w:val="left"/>
            </w:pPr>
            <w:r>
              <w:rPr>
                <w:rFonts w:ascii="仿宋_GB2312" w:hAnsi="仿宋_GB2312" w:cs="仿宋_GB2312" w:eastAsia="仿宋_GB2312"/>
              </w:rPr>
              <w:t xml:space="preserve">4、2017 年《内蒙古自治区通用安装工程预算定额》； </w:t>
            </w:r>
            <w:r>
              <w:br/>
            </w:r>
            <w:r>
              <w:rPr>
                <w:rFonts w:ascii="仿宋_GB2312" w:hAnsi="仿宋_GB2312" w:cs="仿宋_GB2312" w:eastAsia="仿宋_GB2312"/>
              </w:rPr>
              <w:t xml:space="preserve"> 5、2017 年《内蒙古自治区建设工程费用定额》及相关文件。 </w:t>
            </w:r>
            <w:r>
              <w:br/>
            </w:r>
            <w:r>
              <w:rPr>
                <w:rFonts w:ascii="仿宋_GB2312" w:hAnsi="仿宋_GB2312" w:cs="仿宋_GB2312" w:eastAsia="仿宋_GB2312"/>
              </w:rPr>
              <w:t xml:space="preserve"> （四）材料价差参考 2023 年 6 月《包头工程造价信息》，对于工程造价信息没有发布价格信息的材料，参照广材网及市场询价。 </w:t>
            </w:r>
            <w:r>
              <w:br/>
            </w:r>
            <w:r>
              <w:rPr>
                <w:rFonts w:ascii="仿宋_GB2312" w:hAnsi="仿宋_GB2312" w:cs="仿宋_GB2312" w:eastAsia="仿宋_GB2312"/>
              </w:rPr>
              <w:t xml:space="preserve"> 二、其他说明 </w:t>
            </w:r>
            <w:r>
              <w:br/>
            </w:r>
            <w:r>
              <w:rPr>
                <w:rFonts w:ascii="仿宋_GB2312" w:hAnsi="仿宋_GB2312" w:cs="仿宋_GB2312" w:eastAsia="仿宋_GB2312"/>
              </w:rPr>
              <w:t xml:space="preserve"> 1、交通护栏：SB 级护栏 AT2、SB 级护栏 Gr-SB-2E、波形护栏 Gr-Am-4E、 SB 级三波形护栏 AT1-2 的主材价格按材料暂估价计入。</w:t>
            </w:r>
            <w:r>
              <w:br/>
            </w:r>
            <w:r>
              <w:rPr>
                <w:rFonts w:ascii="仿宋_GB2312" w:hAnsi="仿宋_GB2312" w:cs="仿宋_GB2312" w:eastAsia="仿宋_GB2312"/>
              </w:rPr>
              <w:t xml:space="preserve"> 2、其中土方单位工程中道路土方分部中清单项“挖一般土方”（不分土方类别，含挖、运、卸等工作内容，运距综合考虑，结算时不作调整）：最高投标限价为6.49元/m³（不含规费、税金）。超出以上最高限价的，响应无效。</w:t>
            </w:r>
            <w:r>
              <w:br/>
            </w:r>
            <w:r>
              <w:rPr>
                <w:rFonts w:ascii="仿宋_GB2312" w:hAnsi="仿宋_GB2312" w:cs="仿宋_GB2312" w:eastAsia="仿宋_GB2312"/>
              </w:rPr>
              <w:t xml:space="preserve"> 三、工程量清单详见附件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1）供应商须具有建设行政主管部门核发的市政公用工程施工总承包三级（含）以上资质，且具有有效的安全生产许可证（证件如遇过期，未办理或正在办理延期的，须提供主管部门发布的延期通知或资质延续名单的公告或相应文件）。 （2）供应商拟派项目经理须具有市政公用工程专业二级（含）以上注册建造师证书，且具备有效的安全生产考核合格证书，且不得担任其他在施项目的项目经理。 如项目经理为一级注册建造师，应按照《住房和城乡建设部办公厅关于全面实行一级建造师电子注册证书的通知》[建办市〔2021〕40 号]文件要求提供电子注册证书，①电子证书使用时限为 180 天，但使用时限距注册专业有效期或建造师满 65 周岁不足 180 天的，使用时限截止日期以注册专业有效期截止日期或建造师满 65 周岁当日为准。超出使用时限的电子证书无效，需重新下载电子证书并再次确认使用时限。②一级建造师打印电子证书后，应在个人签名处手写本人签名，未手写签名或与签名图像笔迹不一致的，该电子证书无效。如项目经理为二级注册建造师，应按照《内蒙古自治区住房和城乡建设厅关于开展二级建造师延续注册和规范电子证书使用有关工作的通知》[内建行函〔2022〕508 号]文件要求提供电子注册证书，①2023 年 1 月 1 日起，无个人签名、不显示注册有效期的证书失效。②打印电子证书后，在个人签名处手写本人签名，未手写签名或与签名图像笔迹不一致的，该证书无效。</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视供应商提供的施工组织设计内容完整性进行评审，内容包含施工组织设计内容，能够指导施工，符合现场实际情况，满足施工要求。（1）针对性强，内容全面、详细，描述准确、规范，完全符合要求 ，得7分；（2）针对性较强，内容较详细，描述较规范，符合要求，得6分； （3）内容基本齐全，基本符合要求，得4分；（4）内容不齐全，表述不清楚、不符合要求，不得分。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视供应商提供的施工方案与技术措施进行评审，内容包含施工方案先进、施工方法可行，技术措施针对工程质量、工期和施工安全生产保障。 （1）针对性强，便于组织施工，方案内容全面、详细 ，描述准确、规范，完全符合要求，得8分； （2）针对性较强，方案内容较全面、较详细，描述较规范，符合要求，得7分； （3）针对性一般，方案内容基本完整，基本符合要求，不便于组织施工，方案优化后，方可执行的，得5分； （4）针对性不强，内容不完整、不符合要求，不得分。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视供应商提供的质量管理体系与措施进行评审，内容包含质量目标满足竞争磋商文件要求，具有质量控制计划、岗位责任、材料采购、过程控制及检验、分项措施。 （1）针对性强，便于组织施工，内容全面、详细，描述准确、规范，完全符合要求，得8分； （2）针对性较强，内容较详细，描述较规范，符合要求，得7分； （3）针对性一般，内容基本完整，基本符合要求，不便于组织施工，方案优化后，方可执行的，得5分； （4）针对性不强，内容不完整、不符合要求，不得分。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视供应商提供的安全管理体系与措施进行评审，内容包含安全文明施工目标满足竞争磋商文件要求，具有安全管理体系、防护措施，单位工程安全防护方案符合国家及地方管理规定。 （1）针对性强， 便于组织施工，内容全面、详细，描述准确、规范，完全符合要求，得8分； （2）针对性较强，内容较详细，描述较规范，符合要求，得7分；（3）针对性一般，内容基本完整，基本符合要求，不便于组织施工，方案优化后，方可执行的，得5分；（4）针对性不强，内容不完整、不符合要求，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视供应商提供的环保管理体系与措施进行评审，内容包含环境保护管理体系、污染物处理及排放符合国家及地方环境保护标准、技术及管理措施。 （1）针对性强，内容全面、详细，描述准确、规范，完全符合要求，得8分； （2）针对性较强，内容较详细，描述较规范，符合要求，得7分； （3）针对性一般，内容基本完整，基本符合要求，方案优化后，方可执行的，得5分； （4）针对性不强，内容不完整、不符合要求，不得分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视供应商提供的工程进度计划与措施进行评审，内容包含施工工期满足竞争磋商文件要求，施工进度计划，措施及网络图设置。（1）施工进度计划编制合理、可行，关键线路清晰、准确、完整 ，关键节点控制措施得力、可操作性强，保证措施可靠，得7分； （2）施工进度计划编制比较合理，关键线路比较清晰，关键节点控制措施可操作性比较强，保证措施比较可靠，得6分； （3）施工进度计划编制基本合理，关键线路 基本完整，关键节点控制措施基本合理，方案优化后，方可执行的，得4分； （4）施工进度计划编制基本不合理、不可行，或关键线路不清晰、不准确、不完整，或关键节点控制措施不合理、不具有可操作性基本条件，或保证措施不可靠，不得分。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安全文明施工要求</w:t>
            </w:r>
          </w:p>
        </w:tc>
        <w:tc>
          <w:tcPr>
            <w:tcW w:type="dxa" w:w="3115"/>
          </w:tcPr>
          <w:p>
            <w:pPr>
              <w:pStyle w:val="null5"/>
              <w:jc w:val="left"/>
            </w:pPr>
            <w:r>
              <w:rPr>
                <w:rFonts w:ascii="仿宋_GB2312" w:hAnsi="仿宋_GB2312" w:cs="仿宋_GB2312" w:eastAsia="仿宋_GB2312"/>
              </w:rPr>
              <w:t>视供应商提供的安全文明施工要求进行评审，内容包含现场平面布置，制定符合本项目的安全文明施工要求。 （1）根据实际情况制定安全文明施工保证计划，内容全面、详细、完整，关键地点、工序、环节控制保障措 施得力，完全满足要求，得7分； （2）根据实际情况制定安全文明施工保证计划，内容较详细，关键地点、工序、环节控制保障措施得力，基本符合要求，得6分； （3）根据实际情况制定安 全文明施工保证计划，内容基本完整，关键地点、工序、环节控制保障措施基本制订，方案优化后，方可执行的，得4分； （4）根据实际情况制定安全文明施工保证计划计不全面不周到、不完整，或关键地点、工序、环节控制保障措施未制订，不符合要求， 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视供应商提供的资源配备计划进行评审，内容包含机械设备、劳动力、施工机具、架料、模板及安全防护用品满足工程进度及施工管理。 （1）内容完整、详细，完全满足要求，得6分； （2）内容较详细，符合要求，得5分； （3）内容基本完整、基本符合要求，方案优化后，方可执行的，得3分； （4）不符合相关规定，表述不清楚、不符合要求，不得分。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新技术、新材料、新工艺的应用</w:t>
            </w:r>
          </w:p>
        </w:tc>
        <w:tc>
          <w:tcPr>
            <w:tcW w:type="dxa" w:w="3115"/>
          </w:tcPr>
          <w:p>
            <w:pPr>
              <w:pStyle w:val="null5"/>
              <w:jc w:val="left"/>
            </w:pPr>
            <w:r>
              <w:rPr>
                <w:rFonts w:ascii="仿宋_GB2312" w:hAnsi="仿宋_GB2312" w:cs="仿宋_GB2312" w:eastAsia="仿宋_GB2312"/>
              </w:rPr>
              <w:t>提出应用新技术、新材料、绿色建材、新工艺，内容科学合理，得1分，未提供不得分。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供应商自2022年02月1日以来至磋商截止之日承担过类似工程业绩每有一项得2分，本项最多得6分。(注：响应文件中需提供合同原件扫描件，不提供或不清楚不得分；以合同签订日期为准。）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根据现场配置管理人员（项目经理、技术负责人、施工员、质检员、安全员、材料员、预算员、资料员等人员）基本情况、机构设置、班子配备的齐备、完整、合理程度，进行综合评定，人员配备齐全得4分，每缺少一人，扣0.5分，扣完为止。 注：响应文件中提供人员证书原件扫描件，未提供或内容无法辨认，均不予计分。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