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殡仪馆殡葬综合服务项目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达拉特旗民政局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内蒙古恒咨项目管理有限公司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ESZCDQS-C-F-250025</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内蒙古恒咨项目管理有限公司</w:t>
      </w:r>
      <w:r>
        <w:rPr>
          <w:rFonts w:ascii="仿宋_GB2312" w:hAnsi="仿宋_GB2312" w:cs="仿宋_GB2312" w:eastAsia="仿宋_GB2312"/>
        </w:rPr>
        <w:t xml:space="preserve"> 受 </w:t>
      </w:r>
      <w:r>
        <w:rPr>
          <w:rFonts w:ascii="仿宋_GB2312" w:hAnsi="仿宋_GB2312" w:cs="仿宋_GB2312" w:eastAsia="仿宋_GB2312"/>
        </w:rPr>
        <w:t>达拉特旗民政局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殡仪馆殡葬综合服务项目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殡仪馆殡葬综合服务项目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ESZCDQS-C-F-250025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429[2025]00202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3,750,000.00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达拉特旗民政局殡仪馆殡葬综合服务项目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3,750,000.00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内蒙古恒咨项目管理有限公司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内蒙古自治区鄂尔多斯市达拉特旗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边瑞</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15804850365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达拉特旗民政局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鄂尔多斯市达拉特旗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014300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崔先生</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0477-5184406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代理服务费收费标准：参照原内工建协【2022】34号文件收取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达拉特旗民政局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内蒙古恒咨项目管理有限公司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达拉特旗民政局殡仪馆殡葬综合服务项目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合同签订之日起至履约结束之日止</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达拉特旗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1、具体支付方式以合同约定为准，达到付款条件起20日，支付合同总金额的20.00%</w:t>
            </w:r>
          </w:p>
          <w:p>
            <w:pPr>
              <w:pStyle w:val="null5"/>
              <w:jc w:val="left"/>
            </w:pPr>
            <w:r>
              <w:rPr>
                <w:rFonts w:ascii="仿宋_GB2312" w:hAnsi="仿宋_GB2312" w:cs="仿宋_GB2312" w:eastAsia="仿宋_GB2312"/>
              </w:rPr>
              <w:t>2、具体支付方式以合同约定为准，达到付款条件起20日，支付合同总金额的80.00%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1.合同签订后3日内进场服务。2.供应商应充分考虑项目风险与利润，服务内容包括但不限于采购需求中的工作内容，直至服务期结束，采购人不再支付除中标金额外的其他费用。本次项目预算为一年服务期预算。</w:t>
              <w:br/>
              <w:t>3.服务期限：3年。合同为一年一签；供应商每年年底需通过采购人考核，考核合格后，签订下一年度合同；考核不合格，采购人有权终止合同。</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标的名称：达拉特旗民政局殡仪馆殡葬综合服务项目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本项目服务包含但不仅限于以下内容:</w:t>
            </w:r>
            <w:r>
              <w:br/>
            </w:r>
            <w:r>
              <w:rPr>
                <w:rFonts w:ascii="仿宋_GB2312" w:hAnsi="仿宋_GB2312" w:cs="仿宋_GB2312" w:eastAsia="仿宋_GB2312"/>
              </w:rPr>
              <w:t xml:space="preserve"> 1、遗体接运,专车接送、随车配备工作人员到丧属规定的地方接运。时间要求：达旗城区内45分钟--60分钟到达规定地点；达旗乡镇区域90分钟到180分钟到达规定地点。</w:t>
            </w:r>
            <w:r>
              <w:br/>
            </w:r>
            <w:r>
              <w:rPr>
                <w:rFonts w:ascii="仿宋_GB2312" w:hAnsi="仿宋_GB2312" w:cs="仿宋_GB2312" w:eastAsia="仿宋_GB2312"/>
              </w:rPr>
              <w:t xml:space="preserve"> 2、遗体存放,首先要遗体验收人员检查遗体,确保遗体表面无血渍、毛发有序,无异常状况后统一存放于遗体冷藏室,如果遇到有特殊疾病、意外事故等,必须采取专业方式进行处理;24小时巡查巡检确保万无一失。</w:t>
            </w:r>
            <w:r>
              <w:br/>
            </w:r>
            <w:r>
              <w:rPr>
                <w:rFonts w:ascii="仿宋_GB2312" w:hAnsi="仿宋_GB2312" w:cs="仿宋_GB2312" w:eastAsia="仿宋_GB2312"/>
              </w:rPr>
              <w:t xml:space="preserve"> 3、遗体火化,火化方式:燃气火化,火化设备:专业火化炉；配备专业人员(提供相应证件)。注:遗体火化前工作人员应对遗体及相关证明文件进行检查核实。</w:t>
            </w:r>
            <w:r>
              <w:br/>
            </w:r>
            <w:r>
              <w:rPr>
                <w:rFonts w:ascii="仿宋_GB2312" w:hAnsi="仿宋_GB2312" w:cs="仿宋_GB2312" w:eastAsia="仿宋_GB2312"/>
              </w:rPr>
              <w:t xml:space="preserve"> 4、骨灰寄存,寄存方式:合同式寄存,寄存地点:骨灰寄存室,提供相应安保措施;早9时至晚5时随时接待骨灰寄存。</w:t>
            </w:r>
            <w:r>
              <w:br/>
            </w:r>
            <w:r>
              <w:rPr>
                <w:rFonts w:ascii="仿宋_GB2312" w:hAnsi="仿宋_GB2312" w:cs="仿宋_GB2312" w:eastAsia="仿宋_GB2312"/>
              </w:rPr>
              <w:t xml:space="preserve"> 5、按照《达拉特旗殡葬改革工作方案》（试行）要求，实行“免申即享”补贴服务。建立以基本殡葬服务费补贴为基础、选择性延伸殡葬服务为补充的服务格局，执行明码标价以及公开公示制度；对在达拉特旗殡仪馆举办丧事活动的逝者家庭，依规定收取的四项基本殡葬服务费用（即遗体接运费、遗体存放费、遗体火化费、骨灰寄存费），所收取的费用能够及时上缴财政。</w:t>
            </w:r>
            <w:r>
              <w:br/>
            </w:r>
            <w:r>
              <w:rPr>
                <w:rFonts w:ascii="仿宋_GB2312" w:hAnsi="仿宋_GB2312" w:cs="仿宋_GB2312" w:eastAsia="仿宋_GB2312"/>
              </w:rPr>
              <w:t xml:space="preserve"> 6、公司要坚持公益属性，保障群众利益。突出殡葬事业公益属性，健全公司殡葬服务体制机制，强化殡葬服务人员配置，保证服务人员大于20人以上，切实做到“全心全意为人民服务的宗旨,爱岗敬业、忠于职守、文明服务,严格遵守职业道德,竭诚为丧户提供优质服务,要坚持诚信原则。要维护好殡葬消费者的合法权益”配合采购人完成其未尽事宜。</w:t>
            </w:r>
            <w:r>
              <w:br/>
            </w:r>
            <w:r>
              <w:rPr>
                <w:rFonts w:ascii="仿宋_GB2312" w:hAnsi="仿宋_GB2312" w:cs="仿宋_GB2312" w:eastAsia="仿宋_GB2312"/>
              </w:rPr>
              <w:t xml:space="preserve"> 7、做好殡仪馆保洁、安保、消毒、及水、电、暖等服务。每日及时对主楼、副楼所有吊唁厅及休息室、车间、走廊、及主楼外围的环境卫生进行清扫，对人员密集的重要场所进行消毒；负责殡仪馆的水、暖、电、监控等设施设备的维护保养以及缴费；24 小时进行保安服务。</w:t>
            </w:r>
            <w:r>
              <w:br/>
            </w:r>
            <w:r>
              <w:rPr>
                <w:rFonts w:ascii="仿宋_GB2312" w:hAnsi="仿宋_GB2312" w:cs="仿宋_GB2312" w:eastAsia="仿宋_GB2312"/>
              </w:rPr>
              <w:t xml:space="preserve"> 8、配合采购人完成其未尽事宜。</w:t>
            </w:r>
          </w:p>
          <w:p>
            <w:pPr>
              <w:pStyle w:val="null5"/>
              <w:jc w:val="left"/>
            </w:pPr>
            <w:r>
              <w:rPr>
                <w:rFonts w:ascii="仿宋_GB2312" w:hAnsi="仿宋_GB2312" w:cs="仿宋_GB2312" w:eastAsia="仿宋_GB2312"/>
              </w:rPr>
              <w:t xml:space="preserve"> </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2.提供递交响应文件截止之日前一年内(至少一个月)缴纳社会保险的凭证。(以专用收据或社会保险缴纳清单为准)注:其他组织和自然人也需要提供缴纳税收的凭据金额缴纳社保的凭据。依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报价得分15.00分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1、项目实施方案合理、经济,能切合实际,充分考虑了项目各项因素和功能要求 的得15.0分; 2、项目 实施方案较合理、经济,基本能切合实际的得10.0分 ; 3、项目实施方案一般,未充分考虑项目各项因素 和功能功能要求的得5.0分 ; 4、内容缺失不得分。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拟派本项目人员情况</w:t>
            </w:r>
          </w:p>
        </w:tc>
        <w:tc>
          <w:tcPr>
            <w:tcW w:type="dxa" w:w="3115"/>
          </w:tcPr>
          <w:p>
            <w:pPr>
              <w:pStyle w:val="null5"/>
              <w:jc w:val="left"/>
            </w:pPr>
            <w:r>
              <w:rPr>
                <w:rFonts w:ascii="仿宋_GB2312" w:hAnsi="仿宋_GB2312" w:cs="仿宋_GB2312" w:eastAsia="仿宋_GB2312"/>
              </w:rPr>
              <w:t>供应商必须服从采购人的管理,完成相关服务,确保服务过程安全、有效,家属亲友满意的的前提下,提供 足够的服务人员，在满足技术要求的基础上: 派驻服务人员人数每增加一人得2分，最高得10分；未增加不得分。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设备保障能力</w:t>
            </w:r>
          </w:p>
        </w:tc>
        <w:tc>
          <w:tcPr>
            <w:tcW w:type="dxa" w:w="3115"/>
          </w:tcPr>
          <w:p>
            <w:pPr>
              <w:pStyle w:val="null5"/>
              <w:jc w:val="left"/>
            </w:pPr>
            <w:r>
              <w:rPr>
                <w:rFonts w:ascii="仿宋_GB2312" w:hAnsi="仿宋_GB2312" w:cs="仿宋_GB2312" w:eastAsia="仿宋_GB2312"/>
              </w:rPr>
              <w:t>供应商为本项目提供的设备设施配套齐全、充足,得 10.0分; 供应商为 本项目提供的设备设施配套较齐全,得7.0分; 供应商为本项目提供的设 备设施配套不齐全,得 3.0分。 需提供设备设施规格、图片,若不提供, 则不得分。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人员培训方案及措施</w:t>
            </w:r>
          </w:p>
        </w:tc>
        <w:tc>
          <w:tcPr>
            <w:tcW w:type="dxa" w:w="3115"/>
          </w:tcPr>
          <w:p>
            <w:pPr>
              <w:pStyle w:val="null5"/>
              <w:jc w:val="left"/>
            </w:pPr>
            <w:r>
              <w:rPr>
                <w:rFonts w:ascii="仿宋_GB2312" w:hAnsi="仿宋_GB2312" w:cs="仿宋_GB2312" w:eastAsia="仿宋_GB2312"/>
              </w:rPr>
              <w:t>为保证本项目实施需对本项目服务人员进行系统培训。根据各投标人提 供的人员培训方案及措施(包 含:培训人员安排、培训时间)进行评审: 条理清晰明确,措施全面具体,可操作性强,得 10.0分; 条理基本 清晰, 措施全面,有可操作性,得7.0分; 条理不清晰,措施简单,不具有可操 作性,得3.0分; 不提供不得 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突发事件应急处理方案</w:t>
            </w:r>
          </w:p>
        </w:tc>
        <w:tc>
          <w:tcPr>
            <w:tcW w:type="dxa" w:w="3115"/>
          </w:tcPr>
          <w:p>
            <w:pPr>
              <w:pStyle w:val="null5"/>
              <w:jc w:val="left"/>
            </w:pPr>
            <w:r>
              <w:rPr>
                <w:rFonts w:ascii="仿宋_GB2312" w:hAnsi="仿宋_GB2312" w:cs="仿宋_GB2312" w:eastAsia="仿宋_GB2312"/>
              </w:rPr>
              <w:t>针对本项目实施过程中可能出现的风险有针对性、合理可行的应急处理方案,安全方案详细具体,得 15.0分; 针对本项目实施过程中可能出现的风 险有较有针对性、基本合理可行的 应急处理方案,有基 本的安全方案描述 ,得10.0分; 应急处理方案针对性差、可行性差或安全方案描述简略,得5.0分;不提 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组织机构设置及人员配备方案</w:t>
            </w:r>
          </w:p>
        </w:tc>
        <w:tc>
          <w:tcPr>
            <w:tcW w:type="dxa" w:w="3115"/>
          </w:tcPr>
          <w:p>
            <w:pPr>
              <w:pStyle w:val="null5"/>
              <w:jc w:val="left"/>
            </w:pPr>
            <w:r>
              <w:rPr>
                <w:rFonts w:ascii="仿宋_GB2312" w:hAnsi="仿宋_GB2312" w:cs="仿宋_GB2312" w:eastAsia="仿宋_GB2312"/>
              </w:rPr>
              <w:t>根据各投标人提供的针对本项目的组织机构设置及人员配备方案进行评审: 内容详实具体,安排科学高 效,可操作性强,得10.0分; 内容基本完 整,安排合理,有可操作性,得7.0分; 内容不完整,安排不合理,不具 有可操作性,得3.0分; 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近年（2022年1月至今，以合同签订时间为准），每有一项服务类业绩得5.0分，最高得15.0分（投标文件须附合同扫描件）；不提供不得分。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