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鄂托克前旗教体系统财务收支专项审计服务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鄂托克前旗教育体育局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内蒙古凯利项目管理有限公司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ESZCQQS-C-F-250009</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内蒙古凯利项目管理有限公司</w:t>
      </w:r>
      <w:r>
        <w:rPr>
          <w:rFonts w:ascii="仿宋_GB2312" w:hAnsi="仿宋_GB2312" w:cs="仿宋_GB2312" w:eastAsia="仿宋_GB2312"/>
        </w:rPr>
        <w:t xml:space="preserve"> 受 </w:t>
      </w:r>
      <w:r>
        <w:rPr>
          <w:rFonts w:ascii="仿宋_GB2312" w:hAnsi="仿宋_GB2312" w:cs="仿宋_GB2312" w:eastAsia="仿宋_GB2312"/>
        </w:rPr>
        <w:t>鄂托克前旗教育体育局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鄂托克前旗教体系统财务收支专项审计服务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鄂托克前旗教体系统财务收支专项审计服务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ESZCQQS-C-F-250009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431[2025]00089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1,292,561.00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鄂托克前旗教体系统财务收支专项审计服务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1,292,561.00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1、特定的资格要求：供应商具备有效的《会计师事务所执业证书》</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内蒙古凯利项目管理有限公司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内蒙古自治区呼和浩特市赛罕区绿地腾飞大厦B座1302</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苏志晨</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19975546731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鄂托克前旗教育体育局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鄂尔多斯市鄂托克前旗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乔刘刚</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18847746911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代理服务费收费标准：中标（成交）金额的1.5%</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鄂托克前旗教育体育局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内蒙古凯利项目管理有限公司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对教体系统 27 家单位财务收支等审计内容进行审计，服务期限 3 个月，审 计结果 27 家单位各出具一式三份纸质版审计报告，审计标准依据《中国注册会 计师执业准则》、《政府会计制度》、《中小学校财务制度》出具相关审计报告。</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自合同签订之日起三个月内提交审计报告。</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鄂托克前旗教体系统27家单位。</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1、签订合同，并进场提供服务，达到付款条件起10日，支付合同总金额的30.00%</w:t>
            </w:r>
          </w:p>
          <w:p>
            <w:pPr>
              <w:pStyle w:val="null5"/>
              <w:jc w:val="left"/>
            </w:pPr>
            <w:r>
              <w:rPr>
                <w:rFonts w:ascii="仿宋_GB2312" w:hAnsi="仿宋_GB2312" w:cs="仿宋_GB2312" w:eastAsia="仿宋_GB2312"/>
              </w:rPr>
              <w:t>2、提交最终成果文件并通过验收，达到付款条件起10日，支付合同总金额的70.00%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标的名称：鄂托克前旗教体系统财务收支专项审计服务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after="150"/>
              <w:ind w:firstLine="420"/>
              <w:jc w:val="left"/>
            </w:pPr>
            <w:r>
              <w:rPr>
                <w:rFonts w:ascii="仿宋_GB2312" w:hAnsi="仿宋_GB2312" w:cs="仿宋_GB2312" w:eastAsia="仿宋_GB2312"/>
                <w:sz w:val="21"/>
                <w:color w:val="000000"/>
              </w:rPr>
              <w:t>对教体系统</w:t>
            </w:r>
            <w:r>
              <w:rPr>
                <w:rFonts w:ascii="仿宋_GB2312" w:hAnsi="仿宋_GB2312" w:cs="仿宋_GB2312" w:eastAsia="仿宋_GB2312"/>
                <w:sz w:val="21"/>
                <w:color w:val="000000"/>
              </w:rPr>
              <w:t>27家单位财务收支等审计内容进行审计，服务期限3个月，审</w:t>
            </w:r>
            <w:r>
              <w:rPr>
                <w:rFonts w:ascii="仿宋_GB2312" w:hAnsi="仿宋_GB2312" w:cs="仿宋_GB2312" w:eastAsia="仿宋_GB2312"/>
                <w:sz w:val="21"/>
                <w:color w:val="000000"/>
              </w:rPr>
              <w:t>计结果</w:t>
            </w:r>
            <w:r>
              <w:rPr>
                <w:rFonts w:ascii="仿宋_GB2312" w:hAnsi="仿宋_GB2312" w:cs="仿宋_GB2312" w:eastAsia="仿宋_GB2312"/>
                <w:sz w:val="21"/>
                <w:color w:val="000000"/>
              </w:rPr>
              <w:t>27家单位各出具一式三份纸质版审计报告，审计标</w:t>
            </w:r>
            <w:r>
              <w:rPr>
                <w:rFonts w:ascii="仿宋_GB2312" w:hAnsi="仿宋_GB2312" w:cs="仿宋_GB2312" w:eastAsia="仿宋_GB2312"/>
                <w:sz w:val="21"/>
                <w:color w:val="000000"/>
              </w:rPr>
              <w:t>准依据《中国注册会</w:t>
            </w:r>
            <w:r>
              <w:rPr>
                <w:rFonts w:ascii="仿宋_GB2312" w:hAnsi="仿宋_GB2312" w:cs="仿宋_GB2312" w:eastAsia="仿宋_GB2312"/>
                <w:sz w:val="21"/>
                <w:color w:val="000000"/>
              </w:rPr>
              <w:t>计师执业准则》、《政府会计制度》、《中小学校财务制度》出具相关审计报告。</w:t>
            </w:r>
          </w:p>
          <w:p>
            <w:pPr>
              <w:pStyle w:val="null5"/>
              <w:spacing w:after="150"/>
              <w:ind w:firstLine="420"/>
              <w:jc w:val="left"/>
            </w:pPr>
            <w:r>
              <w:rPr>
                <w:rFonts w:ascii="仿宋_GB2312" w:hAnsi="仿宋_GB2312" w:cs="仿宋_GB2312" w:eastAsia="仿宋_GB2312"/>
                <w:sz w:val="21"/>
                <w:color w:val="000000"/>
              </w:rPr>
              <w:t>1、预决算管理</w:t>
            </w:r>
          </w:p>
          <w:p>
            <w:pPr>
              <w:pStyle w:val="null5"/>
              <w:spacing w:after="150"/>
              <w:ind w:firstLine="420"/>
              <w:jc w:val="left"/>
            </w:pPr>
            <w:r>
              <w:rPr>
                <w:rFonts w:ascii="仿宋_GB2312" w:hAnsi="仿宋_GB2312" w:cs="仿宋_GB2312" w:eastAsia="仿宋_GB2312"/>
                <w:sz w:val="21"/>
                <w:color w:val="000000"/>
              </w:rPr>
              <w:t>事业单位的部门预算是确定预算编制是否科学</w:t>
            </w:r>
            <w:r>
              <w:rPr>
                <w:rFonts w:ascii="仿宋_GB2312" w:hAnsi="仿宋_GB2312" w:cs="仿宋_GB2312" w:eastAsia="仿宋_GB2312"/>
                <w:sz w:val="21"/>
                <w:color w:val="000000"/>
              </w:rPr>
              <w:t>;预算编制是否充分</w:t>
            </w:r>
            <w:r>
              <w:rPr>
                <w:rFonts w:ascii="仿宋_GB2312" w:hAnsi="仿宋_GB2312" w:cs="仿宋_GB2312" w:eastAsia="仿宋_GB2312"/>
                <w:sz w:val="21"/>
                <w:color w:val="000000"/>
              </w:rPr>
              <w:t>反映单位</w:t>
            </w:r>
            <w:r>
              <w:rPr>
                <w:rFonts w:ascii="仿宋_GB2312" w:hAnsi="仿宋_GB2312" w:cs="仿宋_GB2312" w:eastAsia="仿宋_GB2312"/>
                <w:sz w:val="21"/>
                <w:color w:val="000000"/>
              </w:rPr>
              <w:t>履行公共服务的职能和需求，有无超职责范围或超越事权编制预算、重复或遗漏申报预算、已实施项目未编报预算的情况</w:t>
            </w:r>
            <w:r>
              <w:rPr>
                <w:rFonts w:ascii="仿宋_GB2312" w:hAnsi="仿宋_GB2312" w:cs="仿宋_GB2312" w:eastAsia="仿宋_GB2312"/>
                <w:sz w:val="21"/>
                <w:color w:val="000000"/>
              </w:rPr>
              <w:t>:预算</w:t>
            </w:r>
            <w:r>
              <w:rPr>
                <w:rFonts w:ascii="仿宋_GB2312" w:hAnsi="仿宋_GB2312" w:cs="仿宋_GB2312" w:eastAsia="仿宋_GB2312"/>
                <w:sz w:val="21"/>
                <w:color w:val="000000"/>
              </w:rPr>
              <w:t>编制是否全面、完整。</w:t>
            </w:r>
          </w:p>
          <w:p>
            <w:pPr>
              <w:pStyle w:val="null5"/>
              <w:spacing w:after="150"/>
              <w:ind w:firstLine="420"/>
              <w:jc w:val="left"/>
            </w:pPr>
            <w:r>
              <w:rPr>
                <w:rFonts w:ascii="仿宋_GB2312" w:hAnsi="仿宋_GB2312" w:cs="仿宋_GB2312" w:eastAsia="仿宋_GB2312"/>
                <w:sz w:val="21"/>
                <w:color w:val="000000"/>
              </w:rPr>
              <w:t>编制预算的基础数据是否真实、合法，包括财政拨款补助单位人数</w:t>
            </w:r>
            <w:r>
              <w:rPr>
                <w:rFonts w:ascii="仿宋_GB2312" w:hAnsi="仿宋_GB2312" w:cs="仿宋_GB2312" w:eastAsia="仿宋_GB2312"/>
                <w:sz w:val="21"/>
                <w:color w:val="000000"/>
              </w:rPr>
              <w:t>、资产数</w:t>
            </w:r>
            <w:r>
              <w:rPr>
                <w:rFonts w:ascii="仿宋_GB2312" w:hAnsi="仿宋_GB2312" w:cs="仿宋_GB2312" w:eastAsia="仿宋_GB2312"/>
                <w:sz w:val="21"/>
                <w:color w:val="000000"/>
              </w:rPr>
              <w:t>量等基础信息，有无虚报人员、资产等冒领工资、住房公积金、运维经费</w:t>
            </w:r>
            <w:r>
              <w:rPr>
                <w:rFonts w:ascii="仿宋_GB2312" w:hAnsi="仿宋_GB2312" w:cs="仿宋_GB2312" w:eastAsia="仿宋_GB2312"/>
                <w:sz w:val="21"/>
                <w:color w:val="000000"/>
              </w:rPr>
              <w:t>等预算</w:t>
            </w:r>
            <w:r>
              <w:rPr>
                <w:rFonts w:ascii="仿宋_GB2312" w:hAnsi="仿宋_GB2312" w:cs="仿宋_GB2312" w:eastAsia="仿宋_GB2312"/>
                <w:sz w:val="21"/>
                <w:color w:val="000000"/>
              </w:rPr>
              <w:t>资金的情况</w:t>
            </w:r>
            <w:r>
              <w:rPr>
                <w:rFonts w:ascii="仿宋_GB2312" w:hAnsi="仿宋_GB2312" w:cs="仿宋_GB2312" w:eastAsia="仿宋_GB2312"/>
                <w:sz w:val="21"/>
                <w:color w:val="000000"/>
              </w:rPr>
              <w:t>;预算依据是否充分，是否按照国家法律法规和规童制度规定的标准和</w:t>
            </w:r>
            <w:r>
              <w:rPr>
                <w:rFonts w:ascii="仿宋_GB2312" w:hAnsi="仿宋_GB2312" w:cs="仿宋_GB2312" w:eastAsia="仿宋_GB2312"/>
                <w:sz w:val="21"/>
                <w:color w:val="000000"/>
              </w:rPr>
              <w:t>开支范围测算支出，有无违反规定随意扩大财政供给范围、提高单位开文</w:t>
            </w:r>
            <w:r>
              <w:rPr>
                <w:rFonts w:ascii="仿宋_GB2312" w:hAnsi="仿宋_GB2312" w:cs="仿宋_GB2312" w:eastAsia="仿宋_GB2312"/>
                <w:sz w:val="21"/>
                <w:color w:val="000000"/>
              </w:rPr>
              <w:t>标准的</w:t>
            </w:r>
            <w:r>
              <w:rPr>
                <w:rFonts w:ascii="仿宋_GB2312" w:hAnsi="仿宋_GB2312" w:cs="仿宋_GB2312" w:eastAsia="仿宋_GB2312"/>
                <w:sz w:val="21"/>
                <w:color w:val="000000"/>
              </w:rPr>
              <w:t>情况</w:t>
            </w:r>
            <w:r>
              <w:rPr>
                <w:rFonts w:ascii="仿宋_GB2312" w:hAnsi="仿宋_GB2312" w:cs="仿宋_GB2312" w:eastAsia="仿宋_GB2312"/>
                <w:sz w:val="21"/>
                <w:color w:val="000000"/>
              </w:rPr>
              <w:t>;是否按规定编报政府采购预算和资产配置预算，有无应编而未编的情况;调</w:t>
            </w:r>
            <w:r>
              <w:rPr>
                <w:rFonts w:ascii="仿宋_GB2312" w:hAnsi="仿宋_GB2312" w:cs="仿宋_GB2312" w:eastAsia="仿宋_GB2312"/>
                <w:sz w:val="21"/>
                <w:color w:val="000000"/>
              </w:rPr>
              <w:t>整预算、动用结余资金是否按规定程序报批的情况等。</w:t>
            </w:r>
          </w:p>
          <w:p>
            <w:pPr>
              <w:pStyle w:val="null5"/>
              <w:spacing w:after="150"/>
              <w:ind w:firstLine="420"/>
              <w:jc w:val="left"/>
            </w:pPr>
            <w:r>
              <w:rPr>
                <w:rFonts w:ascii="仿宋_GB2312" w:hAnsi="仿宋_GB2312" w:cs="仿宋_GB2312" w:eastAsia="仿宋_GB2312"/>
                <w:sz w:val="21"/>
                <w:color w:val="000000"/>
              </w:rPr>
              <w:t>检查部门决算、与部门预算及账面支出数进行比对，确定决算数与</w:t>
            </w:r>
            <w:r>
              <w:rPr>
                <w:rFonts w:ascii="仿宋_GB2312" w:hAnsi="仿宋_GB2312" w:cs="仿宋_GB2312" w:eastAsia="仿宋_GB2312"/>
                <w:sz w:val="21"/>
                <w:color w:val="000000"/>
              </w:rPr>
              <w:t>账面数是</w:t>
            </w:r>
            <w:r>
              <w:rPr>
                <w:rFonts w:ascii="仿宋_GB2312" w:hAnsi="仿宋_GB2312" w:cs="仿宋_GB2312" w:eastAsia="仿宋_GB2312"/>
                <w:sz w:val="21"/>
                <w:color w:val="000000"/>
              </w:rPr>
              <w:t>否一致、是否存在超预算列支、是否存在列支预算外项目费用等内容。</w:t>
            </w:r>
          </w:p>
          <w:p>
            <w:pPr>
              <w:pStyle w:val="null5"/>
              <w:spacing w:after="150"/>
              <w:ind w:firstLine="420"/>
              <w:jc w:val="left"/>
            </w:pPr>
            <w:r>
              <w:rPr>
                <w:rFonts w:ascii="仿宋_GB2312" w:hAnsi="仿宋_GB2312" w:cs="仿宋_GB2312" w:eastAsia="仿宋_GB2312"/>
                <w:sz w:val="21"/>
                <w:color w:val="000000"/>
              </w:rPr>
              <w:t>2、收入收费管理</w:t>
            </w:r>
          </w:p>
          <w:p>
            <w:pPr>
              <w:pStyle w:val="null5"/>
              <w:spacing w:after="150"/>
              <w:ind w:firstLine="420"/>
              <w:jc w:val="left"/>
            </w:pPr>
            <w:r>
              <w:rPr>
                <w:rFonts w:ascii="仿宋_GB2312" w:hAnsi="仿宋_GB2312" w:cs="仿宋_GB2312" w:eastAsia="仿宋_GB2312"/>
                <w:sz w:val="21"/>
                <w:color w:val="000000"/>
              </w:rPr>
              <w:t>审计事业单位收入内容，确定收入是否全部纳入法定账簿，确定收费依据是</w:t>
            </w:r>
            <w:r>
              <w:rPr>
                <w:rFonts w:ascii="仿宋_GB2312" w:hAnsi="仿宋_GB2312" w:cs="仿宋_GB2312" w:eastAsia="仿宋_GB2312"/>
                <w:sz w:val="21"/>
                <w:color w:val="000000"/>
              </w:rPr>
              <w:t>否合法合规，有无未经许可，擅自收费、擅自调整收费项目、范围、标准</w:t>
            </w:r>
            <w:r>
              <w:rPr>
                <w:rFonts w:ascii="仿宋_GB2312" w:hAnsi="仿宋_GB2312" w:cs="仿宋_GB2312" w:eastAsia="仿宋_GB2312"/>
                <w:sz w:val="21"/>
                <w:color w:val="000000"/>
              </w:rPr>
              <w:t>;是否存</w:t>
            </w:r>
            <w:r>
              <w:rPr>
                <w:rFonts w:ascii="仿宋_GB2312" w:hAnsi="仿宋_GB2312" w:cs="仿宋_GB2312" w:eastAsia="仿宋_GB2312"/>
                <w:sz w:val="21"/>
                <w:color w:val="000000"/>
              </w:rPr>
              <w:t>在不计或少计收入、是否通过违规收费、收入不入账、罚款及摊派等形式设置</w:t>
            </w:r>
            <w:r>
              <w:rPr>
                <w:rFonts w:ascii="仿宋_GB2312" w:hAnsi="仿宋_GB2312" w:cs="仿宋_GB2312" w:eastAsia="仿宋_GB2312"/>
                <w:sz w:val="21"/>
                <w:color w:val="000000"/>
              </w:rPr>
              <w:t>“小</w:t>
            </w:r>
            <w:r>
              <w:rPr>
                <w:rFonts w:ascii="仿宋_GB2312" w:hAnsi="仿宋_GB2312" w:cs="仿宋_GB2312" w:eastAsia="仿宋_GB2312"/>
                <w:sz w:val="21"/>
                <w:color w:val="000000"/>
              </w:rPr>
              <w:t>金库</w:t>
            </w:r>
            <w:r>
              <w:rPr>
                <w:rFonts w:ascii="仿宋_GB2312" w:hAnsi="仿宋_GB2312" w:cs="仿宋_GB2312" w:eastAsia="仿宋_GB2312"/>
                <w:sz w:val="21"/>
                <w:color w:val="000000"/>
              </w:rPr>
              <w:t>”;是否存在隐匿、截留、挪用、转移应确认为本单位的收入。</w:t>
            </w:r>
          </w:p>
          <w:p>
            <w:pPr>
              <w:pStyle w:val="null5"/>
              <w:spacing w:after="150"/>
              <w:ind w:firstLine="420"/>
              <w:jc w:val="left"/>
            </w:pPr>
            <w:r>
              <w:rPr>
                <w:rFonts w:ascii="仿宋_GB2312" w:hAnsi="仿宋_GB2312" w:cs="仿宋_GB2312" w:eastAsia="仿宋_GB2312"/>
                <w:sz w:val="21"/>
                <w:color w:val="000000"/>
              </w:rPr>
              <w:t>检查国有资产处置收入等各项非税收入是否执行</w:t>
            </w:r>
            <w:r>
              <w:rPr>
                <w:rFonts w:ascii="仿宋_GB2312" w:hAnsi="仿宋_GB2312" w:cs="仿宋_GB2312" w:eastAsia="仿宋_GB2312"/>
                <w:sz w:val="21"/>
                <w:color w:val="000000"/>
              </w:rPr>
              <w:t>“收支两条线”，是否及时、</w:t>
            </w:r>
            <w:r>
              <w:rPr>
                <w:rFonts w:ascii="仿宋_GB2312" w:hAnsi="仿宋_GB2312" w:cs="仿宋_GB2312" w:eastAsia="仿宋_GB2312"/>
                <w:sz w:val="21"/>
                <w:color w:val="000000"/>
              </w:rPr>
              <w:t>足额上缴</w:t>
            </w:r>
            <w:r>
              <w:rPr>
                <w:rFonts w:ascii="仿宋_GB2312" w:hAnsi="仿宋_GB2312" w:cs="仿宋_GB2312" w:eastAsia="仿宋_GB2312"/>
                <w:sz w:val="21"/>
                <w:color w:val="000000"/>
              </w:rPr>
              <w:t>;房屋、设备出租收入、工程补偿收入、咨询服务收入等非财政拨款收入收取标准是否履行公开和集体研究程序，是否全额入账核算等情形;是否存在将单</w:t>
            </w:r>
            <w:r>
              <w:rPr>
                <w:rFonts w:ascii="仿宋_GB2312" w:hAnsi="仿宋_GB2312" w:cs="仿宋_GB2312" w:eastAsia="仿宋_GB2312"/>
                <w:sz w:val="21"/>
                <w:color w:val="000000"/>
              </w:rPr>
              <w:t>位取得的各类收入如房屋</w:t>
            </w:r>
            <w:r>
              <w:rPr>
                <w:rFonts w:ascii="仿宋_GB2312" w:hAnsi="仿宋_GB2312" w:cs="仿宋_GB2312" w:eastAsia="仿宋_GB2312"/>
                <w:sz w:val="21"/>
                <w:color w:val="000000"/>
              </w:rPr>
              <w:t>(设备)租赁收入、税务奖励收入、已核销的坏账收回收入、社会捐赠等不入单位财务大账或放到某部门、个人或工会等社会团体核算的</w:t>
            </w:r>
            <w:r>
              <w:rPr>
                <w:rFonts w:ascii="仿宋_GB2312" w:hAnsi="仿宋_GB2312" w:cs="仿宋_GB2312" w:eastAsia="仿宋_GB2312"/>
                <w:sz w:val="21"/>
                <w:color w:val="000000"/>
              </w:rPr>
              <w:t>情况</w:t>
            </w:r>
            <w:r>
              <w:rPr>
                <w:rFonts w:ascii="仿宋_GB2312" w:hAnsi="仿宋_GB2312" w:cs="仿宋_GB2312" w:eastAsia="仿宋_GB2312"/>
                <w:sz w:val="21"/>
                <w:color w:val="000000"/>
              </w:rPr>
              <w:t>;房屋(设备)租赁价格确定是否经集体决策，出租行为是否公开</w:t>
            </w:r>
            <w:r>
              <w:rPr>
                <w:rFonts w:ascii="仿宋_GB2312" w:hAnsi="仿宋_GB2312" w:cs="仿宋_GB2312" w:eastAsia="仿宋_GB2312"/>
                <w:sz w:val="21"/>
                <w:color w:val="000000"/>
              </w:rPr>
              <w:t>、透明</w:t>
            </w:r>
            <w:r>
              <w:rPr>
                <w:rFonts w:ascii="仿宋_GB2312" w:hAnsi="仿宋_GB2312" w:cs="仿宋_GB2312" w:eastAsia="仿宋_GB2312"/>
                <w:sz w:val="21"/>
                <w:color w:val="000000"/>
              </w:rPr>
              <w:t>.合法、</w:t>
            </w:r>
            <w:r>
              <w:rPr>
                <w:rFonts w:ascii="仿宋_GB2312" w:hAnsi="仿宋_GB2312" w:cs="仿宋_GB2312" w:eastAsia="仿宋_GB2312"/>
                <w:sz w:val="21"/>
                <w:color w:val="000000"/>
              </w:rPr>
              <w:t>合规，是否存在出租价格远低于市场价格或签订长期低价租赁合同</w:t>
            </w:r>
            <w:r>
              <w:rPr>
                <w:rFonts w:ascii="仿宋_GB2312" w:hAnsi="仿宋_GB2312" w:cs="仿宋_GB2312" w:eastAsia="仿宋_GB2312"/>
                <w:sz w:val="21"/>
                <w:color w:val="000000"/>
              </w:rPr>
              <w:t>;是否存在逾期</w:t>
            </w:r>
            <w:r>
              <w:rPr>
                <w:rFonts w:ascii="仿宋_GB2312" w:hAnsi="仿宋_GB2312" w:cs="仿宋_GB2312" w:eastAsia="仿宋_GB2312"/>
                <w:sz w:val="21"/>
                <w:color w:val="000000"/>
              </w:rPr>
              <w:t>一年不按合同约定收取房屋</w:t>
            </w:r>
            <w:r>
              <w:rPr>
                <w:rFonts w:ascii="仿宋_GB2312" w:hAnsi="仿宋_GB2312" w:cs="仿宋_GB2312" w:eastAsia="仿宋_GB2312"/>
                <w:sz w:val="21"/>
                <w:color w:val="000000"/>
              </w:rPr>
              <w:t>(设备)租赁收入的情况。</w:t>
            </w:r>
          </w:p>
          <w:p>
            <w:pPr>
              <w:pStyle w:val="null5"/>
              <w:spacing w:after="150"/>
              <w:ind w:firstLine="420"/>
              <w:jc w:val="left"/>
            </w:pPr>
            <w:r>
              <w:rPr>
                <w:rFonts w:ascii="仿宋_GB2312" w:hAnsi="仿宋_GB2312" w:cs="仿宋_GB2312" w:eastAsia="仿宋_GB2312"/>
                <w:sz w:val="21"/>
                <w:color w:val="000000"/>
              </w:rPr>
              <w:t>3、支出管理</w:t>
            </w:r>
          </w:p>
          <w:p>
            <w:pPr>
              <w:pStyle w:val="null5"/>
              <w:spacing w:after="150"/>
              <w:ind w:firstLine="420"/>
              <w:jc w:val="left"/>
            </w:pPr>
            <w:r>
              <w:rPr>
                <w:rFonts w:ascii="仿宋_GB2312" w:hAnsi="仿宋_GB2312" w:cs="仿宋_GB2312" w:eastAsia="仿宋_GB2312"/>
                <w:sz w:val="21"/>
                <w:color w:val="000000"/>
              </w:rPr>
              <w:t>支出管理是事业单位财务收支的核心内容，主要从人</w:t>
            </w:r>
            <w:r>
              <w:rPr>
                <w:rFonts w:ascii="仿宋_GB2312" w:hAnsi="仿宋_GB2312" w:cs="仿宋_GB2312" w:eastAsia="仿宋_GB2312"/>
                <w:sz w:val="21"/>
                <w:color w:val="000000"/>
              </w:rPr>
              <w:t>员支出、三公经费、差</w:t>
            </w:r>
            <w:r>
              <w:rPr>
                <w:rFonts w:ascii="仿宋_GB2312" w:hAnsi="仿宋_GB2312" w:cs="仿宋_GB2312" w:eastAsia="仿宋_GB2312"/>
                <w:sz w:val="21"/>
                <w:color w:val="000000"/>
              </w:rPr>
              <w:t>旅费、培训费、会议费、专家咨询费、劳务费、项目支出、委托业</w:t>
            </w:r>
            <w:r>
              <w:rPr>
                <w:rFonts w:ascii="仿宋_GB2312" w:hAnsi="仿宋_GB2312" w:cs="仿宋_GB2312" w:eastAsia="仿宋_GB2312"/>
                <w:sz w:val="21"/>
                <w:color w:val="000000"/>
              </w:rPr>
              <w:t>务费、政府采</w:t>
            </w:r>
            <w:r>
              <w:rPr>
                <w:rFonts w:ascii="仿宋_GB2312" w:hAnsi="仿宋_GB2312" w:cs="仿宋_GB2312" w:eastAsia="仿宋_GB2312"/>
                <w:sz w:val="21"/>
                <w:color w:val="000000"/>
              </w:rPr>
              <w:t>购、公务卡执行、票据管理方面进行审计。人员支出主要审计支出明细是</w:t>
            </w:r>
            <w:r>
              <w:rPr>
                <w:rFonts w:ascii="仿宋_GB2312" w:hAnsi="仿宋_GB2312" w:cs="仿宋_GB2312" w:eastAsia="仿宋_GB2312"/>
                <w:sz w:val="21"/>
                <w:color w:val="000000"/>
              </w:rPr>
              <w:t>否符合</w:t>
            </w:r>
            <w:r>
              <w:rPr>
                <w:rFonts w:ascii="仿宋_GB2312" w:hAnsi="仿宋_GB2312" w:cs="仿宋_GB2312" w:eastAsia="仿宋_GB2312"/>
                <w:sz w:val="21"/>
                <w:color w:val="000000"/>
              </w:rPr>
              <w:t>相关规定，是否存在人员支出挤占公用支出</w:t>
            </w:r>
            <w:r>
              <w:rPr>
                <w:rFonts w:ascii="仿宋_GB2312" w:hAnsi="仿宋_GB2312" w:cs="仿宋_GB2312" w:eastAsia="仿宋_GB2312"/>
                <w:sz w:val="21"/>
                <w:color w:val="000000"/>
              </w:rPr>
              <w:t>;是否严格执行工资及津补贴政策，有</w:t>
            </w:r>
            <w:r>
              <w:rPr>
                <w:rFonts w:ascii="仿宋_GB2312" w:hAnsi="仿宋_GB2312" w:cs="仿宋_GB2312" w:eastAsia="仿宋_GB2312"/>
                <w:sz w:val="21"/>
                <w:color w:val="000000"/>
              </w:rPr>
              <w:t>无巧立名目，擅自违规发放补助、福利等，参公人员是否在规定的</w:t>
            </w:r>
            <w:r>
              <w:rPr>
                <w:rFonts w:ascii="仿宋_GB2312" w:hAnsi="仿宋_GB2312" w:cs="仿宋_GB2312" w:eastAsia="仿宋_GB2312"/>
                <w:sz w:val="21"/>
                <w:color w:val="000000"/>
              </w:rPr>
              <w:t>工资及津补贴</w:t>
            </w:r>
            <w:r>
              <w:rPr>
                <w:rFonts w:ascii="仿宋_GB2312" w:hAnsi="仿宋_GB2312" w:cs="仿宋_GB2312" w:eastAsia="仿宋_GB2312"/>
                <w:sz w:val="21"/>
                <w:color w:val="000000"/>
              </w:rPr>
              <w:t>之外，以咨询费、加班费等名义领取报酬。</w:t>
            </w:r>
          </w:p>
          <w:p>
            <w:pPr>
              <w:pStyle w:val="null5"/>
              <w:spacing w:after="150"/>
              <w:ind w:firstLine="420"/>
              <w:jc w:val="left"/>
            </w:pPr>
            <w:r>
              <w:rPr>
                <w:rFonts w:ascii="仿宋_GB2312" w:hAnsi="仿宋_GB2312" w:cs="仿宋_GB2312" w:eastAsia="仿宋_GB2312"/>
                <w:sz w:val="21"/>
                <w:color w:val="000000"/>
              </w:rPr>
              <w:t>"三公”经费主要审计是否超预算，是否存在向其他单位转嫁、摊派“三公”</w:t>
            </w:r>
            <w:r>
              <w:rPr>
                <w:rFonts w:ascii="仿宋_GB2312" w:hAnsi="仿宋_GB2312" w:cs="仿宋_GB2312" w:eastAsia="仿宋_GB2312"/>
                <w:sz w:val="21"/>
                <w:color w:val="000000"/>
              </w:rPr>
              <w:t>经费支出，是否存在无计划、无预算擅自组团出国，是否存在擅自调整</w:t>
            </w:r>
            <w:r>
              <w:rPr>
                <w:rFonts w:ascii="仿宋_GB2312" w:hAnsi="仿宋_GB2312" w:cs="仿宋_GB2312" w:eastAsia="仿宋_GB2312"/>
                <w:sz w:val="21"/>
                <w:color w:val="000000"/>
              </w:rPr>
              <w:t>出国团组</w:t>
            </w:r>
            <w:r>
              <w:rPr>
                <w:rFonts w:ascii="仿宋_GB2312" w:hAnsi="仿宋_GB2312" w:cs="仿宋_GB2312" w:eastAsia="仿宋_GB2312"/>
                <w:sz w:val="21"/>
                <w:color w:val="000000"/>
              </w:rPr>
              <w:t>计划，为外单位人员承担出国费，使用虚假发票或国内中介机构出具的</w:t>
            </w:r>
            <w:r>
              <w:rPr>
                <w:rFonts w:ascii="仿宋_GB2312" w:hAnsi="仿宋_GB2312" w:cs="仿宋_GB2312" w:eastAsia="仿宋_GB2312"/>
                <w:sz w:val="21"/>
                <w:color w:val="000000"/>
              </w:rPr>
              <w:t>发票报销</w:t>
            </w:r>
            <w:r>
              <w:rPr>
                <w:rFonts w:ascii="仿宋_GB2312" w:hAnsi="仿宋_GB2312" w:cs="仿宋_GB2312" w:eastAsia="仿宋_GB2312"/>
                <w:sz w:val="21"/>
                <w:color w:val="000000"/>
              </w:rPr>
              <w:t>出国费用，出国经费是否严格按批复预算执行，是否存在违规购车，有无</w:t>
            </w:r>
            <w:r>
              <w:rPr>
                <w:rFonts w:ascii="仿宋_GB2312" w:hAnsi="仿宋_GB2312" w:cs="仿宋_GB2312" w:eastAsia="仿宋_GB2312"/>
                <w:sz w:val="21"/>
                <w:color w:val="000000"/>
              </w:rPr>
              <w:t>公车私</w:t>
            </w:r>
            <w:r>
              <w:rPr>
                <w:rFonts w:ascii="仿宋_GB2312" w:hAnsi="仿宋_GB2312" w:cs="仿宋_GB2312" w:eastAsia="仿宋_GB2312"/>
                <w:sz w:val="21"/>
                <w:color w:val="000000"/>
              </w:rPr>
              <w:t>用，车辆未在定点单位维修等情形。差旅费主要审计单位是否建立健全</w:t>
            </w:r>
            <w:r>
              <w:rPr>
                <w:rFonts w:ascii="仿宋_GB2312" w:hAnsi="仿宋_GB2312" w:cs="仿宋_GB2312" w:eastAsia="仿宋_GB2312"/>
                <w:sz w:val="21"/>
                <w:color w:val="000000"/>
              </w:rPr>
              <w:t>内部审批</w:t>
            </w:r>
            <w:r>
              <w:rPr>
                <w:rFonts w:ascii="仿宋_GB2312" w:hAnsi="仿宋_GB2312" w:cs="仿宋_GB2312" w:eastAsia="仿宋_GB2312"/>
                <w:sz w:val="21"/>
                <w:color w:val="000000"/>
              </w:rPr>
              <w:t>制度，公务出差人员是否按规定等级乘坐交通工具，差旅活动是否有明确的</w:t>
            </w:r>
            <w:r>
              <w:rPr>
                <w:rFonts w:ascii="仿宋_GB2312" w:hAnsi="仿宋_GB2312" w:cs="仿宋_GB2312" w:eastAsia="仿宋_GB2312"/>
                <w:sz w:val="21"/>
                <w:color w:val="000000"/>
              </w:rPr>
              <w:t>公务目的，是否存在以公务差旅名义变相旅游的情况。培训费用主要审计是否有培训</w:t>
            </w:r>
            <w:r>
              <w:rPr>
                <w:rFonts w:ascii="仿宋_GB2312" w:hAnsi="仿宋_GB2312" w:cs="仿宋_GB2312" w:eastAsia="仿宋_GB2312"/>
                <w:sz w:val="21"/>
                <w:color w:val="000000"/>
              </w:rPr>
              <w:t>通知，社会培训是否有领导事先审批，培训内定是否和业务相关，培训支出</w:t>
            </w:r>
            <w:r>
              <w:rPr>
                <w:rFonts w:ascii="仿宋_GB2312" w:hAnsi="仿宋_GB2312" w:cs="仿宋_GB2312" w:eastAsia="仿宋_GB2312"/>
                <w:sz w:val="21"/>
                <w:color w:val="000000"/>
              </w:rPr>
              <w:t>标准是否符合规定。</w:t>
            </w:r>
          </w:p>
          <w:p>
            <w:pPr>
              <w:pStyle w:val="null5"/>
              <w:spacing w:after="150"/>
              <w:ind w:firstLine="420"/>
              <w:jc w:val="left"/>
            </w:pPr>
            <w:r>
              <w:rPr>
                <w:rFonts w:ascii="仿宋_GB2312" w:hAnsi="仿宋_GB2312" w:cs="仿宋_GB2312" w:eastAsia="仿宋_GB2312"/>
                <w:sz w:val="21"/>
                <w:color w:val="000000"/>
              </w:rPr>
              <w:t>4、往来款项</w:t>
            </w:r>
          </w:p>
          <w:p>
            <w:pPr>
              <w:pStyle w:val="null5"/>
              <w:spacing w:after="150"/>
              <w:ind w:firstLine="420"/>
              <w:jc w:val="left"/>
            </w:pPr>
            <w:r>
              <w:rPr>
                <w:rFonts w:ascii="仿宋_GB2312" w:hAnsi="仿宋_GB2312" w:cs="仿宋_GB2312" w:eastAsia="仿宋_GB2312"/>
                <w:sz w:val="21"/>
                <w:color w:val="000000"/>
              </w:rPr>
              <w:t>审计单位是否存在两年以上或异常的往来款项</w:t>
            </w:r>
            <w:r>
              <w:rPr>
                <w:rFonts w:ascii="仿宋_GB2312" w:hAnsi="仿宋_GB2312" w:cs="仿宋_GB2312" w:eastAsia="仿宋_GB2312"/>
                <w:sz w:val="21"/>
                <w:color w:val="000000"/>
              </w:rPr>
              <w:t>;是否存在以各种名义借给系</w:t>
            </w:r>
            <w:r>
              <w:rPr>
                <w:rFonts w:ascii="仿宋_GB2312" w:hAnsi="仿宋_GB2312" w:cs="仿宋_GB2312" w:eastAsia="仿宋_GB2312"/>
                <w:sz w:val="21"/>
                <w:color w:val="000000"/>
              </w:rPr>
              <w:t>统外单位及个人款项</w:t>
            </w:r>
            <w:r>
              <w:rPr>
                <w:rFonts w:ascii="仿宋_GB2312" w:hAnsi="仿宋_GB2312" w:cs="仿宋_GB2312" w:eastAsia="仿宋_GB2312"/>
                <w:sz w:val="21"/>
                <w:color w:val="000000"/>
              </w:rPr>
              <w:t>;进一步核实往来款项中是否存在收入未入账或未全额入账，</w:t>
            </w:r>
            <w:r>
              <w:rPr>
                <w:rFonts w:ascii="仿宋_GB2312" w:hAnsi="仿宋_GB2312" w:cs="仿宋_GB2312" w:eastAsia="仿宋_GB2312"/>
                <w:sz w:val="21"/>
                <w:color w:val="000000"/>
              </w:rPr>
              <w:t>在往来款项列支等账内</w:t>
            </w:r>
            <w:r>
              <w:rPr>
                <w:rFonts w:ascii="仿宋_GB2312" w:hAnsi="仿宋_GB2312" w:cs="仿宋_GB2312" w:eastAsia="仿宋_GB2312"/>
                <w:sz w:val="21"/>
                <w:color w:val="000000"/>
              </w:rPr>
              <w:t>“小金库”问题;是否存在长期不</w:t>
            </w:r>
            <w:r>
              <w:rPr>
                <w:rFonts w:ascii="仿宋_GB2312" w:hAnsi="仿宋_GB2312" w:cs="仿宋_GB2312" w:eastAsia="仿宋_GB2312"/>
                <w:sz w:val="21"/>
                <w:color w:val="000000"/>
              </w:rPr>
              <w:t>清理或异常的往来账款，</w:t>
            </w:r>
            <w:r>
              <w:rPr>
                <w:rFonts w:ascii="仿宋_GB2312" w:hAnsi="仿宋_GB2312" w:cs="仿宋_GB2312" w:eastAsia="仿宋_GB2312"/>
                <w:sz w:val="21"/>
                <w:color w:val="000000"/>
              </w:rPr>
              <w:t>有无形成呆坏账，有无以各种名义借给系统外单位及职工个人款项长期未</w:t>
            </w:r>
            <w:r>
              <w:rPr>
                <w:rFonts w:ascii="仿宋_GB2312" w:hAnsi="仿宋_GB2312" w:cs="仿宋_GB2312" w:eastAsia="仿宋_GB2312"/>
                <w:sz w:val="21"/>
                <w:color w:val="000000"/>
              </w:rPr>
              <w:t>清理，有无在往来账款中列收列支形成账内</w:t>
            </w:r>
            <w:r>
              <w:rPr>
                <w:rFonts w:ascii="仿宋_GB2312" w:hAnsi="仿宋_GB2312" w:cs="仿宋_GB2312" w:eastAsia="仿宋_GB2312"/>
                <w:sz w:val="21"/>
                <w:color w:val="000000"/>
              </w:rPr>
              <w:t>“小金库”。</w:t>
            </w:r>
          </w:p>
          <w:p>
            <w:pPr>
              <w:pStyle w:val="null5"/>
              <w:spacing w:after="150"/>
              <w:ind w:firstLine="420"/>
              <w:jc w:val="left"/>
            </w:pPr>
            <w:r>
              <w:rPr>
                <w:rFonts w:ascii="仿宋_GB2312" w:hAnsi="仿宋_GB2312" w:cs="仿宋_GB2312" w:eastAsia="仿宋_GB2312"/>
                <w:sz w:val="21"/>
                <w:color w:val="000000"/>
              </w:rPr>
              <w:t>5、资产管理</w:t>
            </w:r>
          </w:p>
          <w:p>
            <w:pPr>
              <w:pStyle w:val="null5"/>
              <w:spacing w:after="150"/>
              <w:ind w:firstLine="420"/>
              <w:jc w:val="left"/>
            </w:pPr>
            <w:r>
              <w:rPr>
                <w:rFonts w:ascii="仿宋_GB2312" w:hAnsi="仿宋_GB2312" w:cs="仿宋_GB2312" w:eastAsia="仿宋_GB2312"/>
                <w:sz w:val="21"/>
                <w:color w:val="000000"/>
              </w:rPr>
              <w:t>审计单位是否存在不严格执行资产配置预算，未经审批擅自配置资产、购置</w:t>
            </w:r>
            <w:r>
              <w:rPr>
                <w:rFonts w:ascii="仿宋_GB2312" w:hAnsi="仿宋_GB2312" w:cs="仿宋_GB2312" w:eastAsia="仿宋_GB2312"/>
                <w:sz w:val="21"/>
                <w:color w:val="000000"/>
              </w:rPr>
              <w:t>车辆</w:t>
            </w:r>
            <w:r>
              <w:rPr>
                <w:rFonts w:ascii="仿宋_GB2312" w:hAnsi="仿宋_GB2312" w:cs="仿宋_GB2312" w:eastAsia="仿宋_GB2312"/>
                <w:sz w:val="21"/>
                <w:color w:val="000000"/>
              </w:rPr>
              <w:t>;是否按规定进行资产盘点，账实、账账、账证是否相符;出租、出借房屋、设备等资产是否报批，是否存在未经批准擅自对外投资投资收回不按规定办理报</w:t>
            </w:r>
            <w:r>
              <w:rPr>
                <w:rFonts w:ascii="仿宋_GB2312" w:hAnsi="仿宋_GB2312" w:cs="仿宋_GB2312" w:eastAsia="仿宋_GB2312"/>
                <w:sz w:val="21"/>
                <w:color w:val="000000"/>
              </w:rPr>
              <w:t>批手续</w:t>
            </w:r>
            <w:r>
              <w:rPr>
                <w:rFonts w:ascii="仿宋_GB2312" w:hAnsi="仿宋_GB2312" w:cs="仿宋_GB2312" w:eastAsia="仿宋_GB2312"/>
                <w:sz w:val="21"/>
                <w:color w:val="000000"/>
              </w:rPr>
              <w:t>;出租资产是否经过集体决策，出租行为是否公开、透明、合法、合规，是</w:t>
            </w:r>
            <w:r>
              <w:rPr>
                <w:rFonts w:ascii="仿宋_GB2312" w:hAnsi="仿宋_GB2312" w:cs="仿宋_GB2312" w:eastAsia="仿宋_GB2312"/>
                <w:sz w:val="21"/>
                <w:color w:val="000000"/>
              </w:rPr>
              <w:t>否存在出租价格远低于市场价格或签订长期低价租赁合同</w:t>
            </w:r>
            <w:r>
              <w:rPr>
                <w:rFonts w:ascii="仿宋_GB2312" w:hAnsi="仿宋_GB2312" w:cs="仿宋_GB2312" w:eastAsia="仿宋_GB2312"/>
                <w:sz w:val="21"/>
                <w:color w:val="000000"/>
              </w:rPr>
              <w:t>;是否存在未经批准擅</w:t>
            </w:r>
            <w:r>
              <w:rPr>
                <w:rFonts w:ascii="仿宋_GB2312" w:hAnsi="仿宋_GB2312" w:cs="仿宋_GB2312" w:eastAsia="仿宋_GB2312"/>
                <w:sz w:val="21"/>
                <w:color w:val="000000"/>
              </w:rPr>
              <w:t>自通过捐赠、调拨、报废、置换等处置国有资产等</w:t>
            </w:r>
            <w:r>
              <w:rPr>
                <w:rFonts w:ascii="仿宋_GB2312" w:hAnsi="仿宋_GB2312" w:cs="仿宋_GB2312" w:eastAsia="仿宋_GB2312"/>
                <w:sz w:val="21"/>
                <w:color w:val="000000"/>
              </w:rPr>
              <w:t>;是否存在账外资产交付的资产</w:t>
            </w:r>
            <w:r>
              <w:rPr>
                <w:rFonts w:ascii="仿宋_GB2312" w:hAnsi="仿宋_GB2312" w:cs="仿宋_GB2312" w:eastAsia="仿宋_GB2312"/>
                <w:sz w:val="21"/>
                <w:color w:val="000000"/>
              </w:rPr>
              <w:t>是否及时入账。</w:t>
            </w:r>
          </w:p>
          <w:p>
            <w:pPr>
              <w:pStyle w:val="null5"/>
              <w:spacing w:after="150"/>
              <w:ind w:firstLine="420"/>
              <w:jc w:val="left"/>
            </w:pPr>
            <w:r>
              <w:rPr>
                <w:rFonts w:ascii="仿宋_GB2312" w:hAnsi="仿宋_GB2312" w:cs="仿宋_GB2312" w:eastAsia="仿宋_GB2312"/>
                <w:sz w:val="21"/>
                <w:color w:val="000000"/>
              </w:rPr>
              <w:t>6、合同管理</w:t>
            </w:r>
          </w:p>
          <w:p>
            <w:pPr>
              <w:pStyle w:val="null5"/>
              <w:spacing w:after="150"/>
              <w:ind w:firstLine="420"/>
              <w:jc w:val="left"/>
            </w:pPr>
            <w:r>
              <w:rPr>
                <w:rFonts w:ascii="仿宋_GB2312" w:hAnsi="仿宋_GB2312" w:cs="仿宋_GB2312" w:eastAsia="仿宋_GB2312"/>
                <w:sz w:val="21"/>
                <w:color w:val="000000"/>
              </w:rPr>
              <w:t>审计单位合同条款订立和管理是否规范，是否存在内设机构擅自对外签订合</w:t>
            </w:r>
            <w:r>
              <w:rPr>
                <w:rFonts w:ascii="仿宋_GB2312" w:hAnsi="仿宋_GB2312" w:cs="仿宋_GB2312" w:eastAsia="仿宋_GB2312"/>
                <w:sz w:val="21"/>
                <w:color w:val="000000"/>
              </w:rPr>
              <w:t>同或违反程序越权审签合同</w:t>
            </w:r>
            <w:r>
              <w:rPr>
                <w:rFonts w:ascii="仿宋_GB2312" w:hAnsi="仿宋_GB2312" w:cs="仿宋_GB2312" w:eastAsia="仿宋_GB2312"/>
                <w:sz w:val="21"/>
                <w:color w:val="000000"/>
              </w:rPr>
              <w:t>;根据合同实施内容应收取履约保证金的，是否签订了</w:t>
            </w:r>
            <w:r>
              <w:rPr>
                <w:rFonts w:ascii="仿宋_GB2312" w:hAnsi="仿宋_GB2312" w:cs="仿宋_GB2312" w:eastAsia="仿宋_GB2312"/>
                <w:sz w:val="21"/>
                <w:color w:val="000000"/>
              </w:rPr>
              <w:t>收取履约保证金条款</w:t>
            </w:r>
            <w:r>
              <w:rPr>
                <w:rFonts w:ascii="仿宋_GB2312" w:hAnsi="仿宋_GB2312" w:cs="仿宋_GB2312" w:eastAsia="仿宋_GB2312"/>
                <w:sz w:val="21"/>
                <w:color w:val="000000"/>
              </w:rPr>
              <w:t>;是否存在超项目进度付款和一次性支付合同款的情况;是否以虚</w:t>
            </w:r>
            <w:r>
              <w:rPr>
                <w:rFonts w:ascii="仿宋_GB2312" w:hAnsi="仿宋_GB2312" w:cs="仿宋_GB2312" w:eastAsia="仿宋_GB2312"/>
                <w:sz w:val="21"/>
                <w:color w:val="000000"/>
              </w:rPr>
              <w:t>假合同、虚假发票，或虚报工程量等虚假资料</w:t>
            </w:r>
            <w:r>
              <w:rPr>
                <w:rFonts w:ascii="仿宋_GB2312" w:hAnsi="仿宋_GB2312" w:cs="仿宋_GB2312" w:eastAsia="仿宋_GB2312"/>
                <w:sz w:val="21"/>
                <w:color w:val="000000"/>
              </w:rPr>
              <w:t>支出套取资金等情况。</w:t>
            </w:r>
          </w:p>
          <w:p>
            <w:pPr>
              <w:pStyle w:val="null5"/>
              <w:spacing w:after="150"/>
              <w:ind w:firstLine="420"/>
              <w:jc w:val="left"/>
            </w:pPr>
            <w:r>
              <w:rPr>
                <w:rFonts w:ascii="仿宋_GB2312" w:hAnsi="仿宋_GB2312" w:cs="仿宋_GB2312" w:eastAsia="仿宋_GB2312"/>
                <w:sz w:val="21"/>
                <w:color w:val="000000"/>
              </w:rPr>
              <w:t>7、内部控制</w:t>
            </w:r>
          </w:p>
          <w:p>
            <w:pPr>
              <w:pStyle w:val="null5"/>
              <w:spacing w:after="150"/>
              <w:ind w:firstLine="420"/>
              <w:jc w:val="left"/>
            </w:pPr>
            <w:r>
              <w:rPr>
                <w:rFonts w:ascii="仿宋_GB2312" w:hAnsi="仿宋_GB2312" w:cs="仿宋_GB2312" w:eastAsia="仿宋_GB2312"/>
                <w:sz w:val="21"/>
                <w:color w:val="000000"/>
              </w:rPr>
              <w:t>审计单位内控制度建设是否规范、完善，执行是否严格</w:t>
            </w:r>
            <w:r>
              <w:rPr>
                <w:rFonts w:ascii="仿宋_GB2312" w:hAnsi="仿宋_GB2312" w:cs="仿宋_GB2312" w:eastAsia="仿宋_GB2312"/>
                <w:sz w:val="21"/>
                <w:color w:val="000000"/>
              </w:rPr>
              <w:t>;经济活动的决策、执</w:t>
            </w:r>
            <w:r>
              <w:rPr>
                <w:rFonts w:ascii="仿宋_GB2312" w:hAnsi="仿宋_GB2312" w:cs="仿宋_GB2312" w:eastAsia="仿宋_GB2312"/>
                <w:sz w:val="21"/>
                <w:color w:val="000000"/>
              </w:rPr>
              <w:t>行和监督实现有效分离，权责对等，建立健全议事决策机制、岗位责任制和</w:t>
            </w:r>
            <w:r>
              <w:rPr>
                <w:rFonts w:ascii="仿宋_GB2312" w:hAnsi="仿宋_GB2312" w:cs="仿宋_GB2312" w:eastAsia="仿宋_GB2312"/>
                <w:sz w:val="21"/>
                <w:color w:val="000000"/>
              </w:rPr>
              <w:t>内部</w:t>
            </w:r>
            <w:r>
              <w:rPr>
                <w:rFonts w:ascii="仿宋_GB2312" w:hAnsi="仿宋_GB2312" w:cs="仿宋_GB2312" w:eastAsia="仿宋_GB2312"/>
                <w:sz w:val="21"/>
                <w:color w:val="000000"/>
              </w:rPr>
              <w:t>监督机制等。重点关注预算管理、收支管理、政府采购、资产管理、建设项目管理、合同管理等相关制度的建设。</w:t>
            </w:r>
          </w:p>
          <w:p>
            <w:pPr>
              <w:pStyle w:val="null5"/>
              <w:spacing w:after="150"/>
              <w:ind w:firstLine="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、其他管理</w:t>
            </w:r>
          </w:p>
          <w:p>
            <w:pPr>
              <w:pStyle w:val="null5"/>
              <w:spacing w:after="150"/>
              <w:ind w:firstLine="420"/>
              <w:jc w:val="left"/>
            </w:pPr>
            <w:r>
              <w:rPr>
                <w:rFonts w:ascii="仿宋_GB2312" w:hAnsi="仿宋_GB2312" w:cs="仿宋_GB2312" w:eastAsia="仿宋_GB2312"/>
                <w:sz w:val="21"/>
                <w:color w:val="000000"/>
              </w:rPr>
              <w:t>审计支出事项的审批手续是否完备、账目是否清楚、内容是否真实，会计处</w:t>
            </w:r>
            <w:r>
              <w:rPr>
                <w:rFonts w:ascii="仿宋_GB2312" w:hAnsi="仿宋_GB2312" w:cs="仿宋_GB2312" w:eastAsia="仿宋_GB2312"/>
                <w:sz w:val="21"/>
                <w:color w:val="000000"/>
              </w:rPr>
              <w:t>理是否符合规定，支出内容是否按照经济分类科目进行列支</w:t>
            </w:r>
            <w:r>
              <w:rPr>
                <w:rFonts w:ascii="仿宋_GB2312" w:hAnsi="仿宋_GB2312" w:cs="仿宋_GB2312" w:eastAsia="仿宋_GB2312"/>
                <w:sz w:val="21"/>
                <w:color w:val="000000"/>
              </w:rPr>
              <w:t>;支出事项是否违反党</w:t>
            </w:r>
            <w:r>
              <w:rPr>
                <w:rFonts w:ascii="仿宋_GB2312" w:hAnsi="仿宋_GB2312" w:cs="仿宋_GB2312" w:eastAsia="仿宋_GB2312"/>
                <w:sz w:val="21"/>
                <w:color w:val="000000"/>
              </w:rPr>
              <w:t>政机关厉行节约反对浪费条例和中央八项规定精神的情况</w:t>
            </w:r>
            <w:r>
              <w:rPr>
                <w:rFonts w:ascii="仿宋_GB2312" w:hAnsi="仿宋_GB2312" w:cs="仿宋_GB2312" w:eastAsia="仿宋_GB2312"/>
                <w:sz w:val="21"/>
                <w:color w:val="000000"/>
              </w:rPr>
              <w:t>;是否存在违规对外借</w:t>
            </w:r>
            <w:r>
              <w:rPr>
                <w:rFonts w:ascii="仿宋_GB2312" w:hAnsi="仿宋_GB2312" w:cs="仿宋_GB2312" w:eastAsia="仿宋_GB2312"/>
                <w:sz w:val="21"/>
                <w:color w:val="000000"/>
              </w:rPr>
              <w:t>款或担保行为。综上所述，事业单位财务收支审计重点从上述十个方面的内容进</w:t>
            </w:r>
            <w:r>
              <w:rPr>
                <w:rFonts w:ascii="仿宋_GB2312" w:hAnsi="仿宋_GB2312" w:cs="仿宋_GB2312" w:eastAsia="仿宋_GB2312"/>
                <w:sz w:val="21"/>
                <w:color w:val="000000"/>
              </w:rPr>
              <w:t>行审计，以提高审计质量、加强审计监督。</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审查供应商2023年度或2024年度经会计师事务所出具的财务审计报告或其基本开户银行出具的近一年内的银行资信证明（如供应商为当年成立企业或工商个体户及自然人，可根据自身情况做出承诺）。</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新成立企业纳税、社保不足1个月，需提供相关证明或说明文件。</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特定的资格要求</w:t>
            </w:r>
          </w:p>
        </w:tc>
        <w:tc>
          <w:tcPr>
            <w:tcW w:type="dxa" w:w="4984"/>
          </w:tcPr>
          <w:p>
            <w:pPr>
              <w:pStyle w:val="null5"/>
              <w:jc w:val="left"/>
            </w:pPr>
            <w:r>
              <w:rPr>
                <w:rFonts w:ascii="仿宋_GB2312" w:hAnsi="仿宋_GB2312" w:cs="仿宋_GB2312" w:eastAsia="仿宋_GB2312"/>
              </w:rPr>
              <w:t>供应商具备有效的《会计师事务所执业证书》</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本项目不收取投标保证金，无需缴纳。</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项目的理解程度与审计工作思路</w:t>
            </w:r>
          </w:p>
        </w:tc>
        <w:tc>
          <w:tcPr>
            <w:tcW w:type="dxa" w:w="3115"/>
          </w:tcPr>
          <w:p>
            <w:pPr>
              <w:pStyle w:val="null5"/>
              <w:jc w:val="left"/>
            </w:pPr>
            <w:r>
              <w:rPr>
                <w:rFonts w:ascii="仿宋_GB2312" w:hAnsi="仿宋_GB2312" w:cs="仿宋_GB2312" w:eastAsia="仿宋_GB2312"/>
              </w:rPr>
              <w:t>1.对项目需求分析和整体服务设想充分全面，整体工作思路清晰，相关政策了解掌握充分，得13-18（含）分；2.对项目需求分析和整体服务设想比较全面，整体工作思路较为清晰，相关政策了解较为充分，得8-13（含）分；3.对项目需求分析和整体服务设想一般，整体工作思路较为清晰，相关政策了解一般，得4-8（含）分；4.对项目需求分析和整体服务设想不够全面，整体工作思路较混乱，相关政策不够了解，得1-4（含）分；未提供得0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审计目标及任务</w:t>
            </w:r>
          </w:p>
        </w:tc>
        <w:tc>
          <w:tcPr>
            <w:tcW w:type="dxa" w:w="3115"/>
          </w:tcPr>
          <w:p>
            <w:pPr>
              <w:pStyle w:val="null5"/>
              <w:jc w:val="left"/>
            </w:pPr>
            <w:r>
              <w:rPr>
                <w:rFonts w:ascii="仿宋_GB2312" w:hAnsi="仿宋_GB2312" w:cs="仿宋_GB2312" w:eastAsia="仿宋_GB2312"/>
              </w:rPr>
              <w:t>1.总体审计目标及具体审计目标明确，任务分解到位，得10-15（含）分；2.总体审计目标及具体审计目标较为明确，任务分解到位，得5-10（含）分；3.没有总体审计目标及具体审计目标，任务分解不到位，得1-5（含）分；未提供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审计重点及难点</w:t>
            </w:r>
          </w:p>
        </w:tc>
        <w:tc>
          <w:tcPr>
            <w:tcW w:type="dxa" w:w="3115"/>
          </w:tcPr>
          <w:p>
            <w:pPr>
              <w:pStyle w:val="null5"/>
              <w:jc w:val="left"/>
            </w:pPr>
            <w:r>
              <w:rPr>
                <w:rFonts w:ascii="仿宋_GB2312" w:hAnsi="仿宋_GB2312" w:cs="仿宋_GB2312" w:eastAsia="仿宋_GB2312"/>
              </w:rPr>
              <w:t>1.响应单位审计方案与被审计单位实际情况结合度高，项目重点、难点及风险点评估准确，拟采取的审计程序规范，得8-12（含）分；2.响应单位审计方案与被审计单位实际情况结合度一般，项目重点、难点及风险点评估较为准确，拟采取的审计程序较为规范，得4-8（含）分；3.响应单位审计方案与被审计单位实际情况结合度不足，项目重点、难点及风险点评估掌握不准确，拟采取的审计程序不够规范，得1-4（含）分；未提供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拟派团队分组与人员安排</w:t>
            </w:r>
          </w:p>
        </w:tc>
        <w:tc>
          <w:tcPr>
            <w:tcW w:type="dxa" w:w="3115"/>
          </w:tcPr>
          <w:p>
            <w:pPr>
              <w:pStyle w:val="null5"/>
              <w:jc w:val="left"/>
            </w:pPr>
            <w:r>
              <w:rPr>
                <w:rFonts w:ascii="仿宋_GB2312" w:hAnsi="仿宋_GB2312" w:cs="仿宋_GB2312" w:eastAsia="仿宋_GB2312"/>
              </w:rPr>
              <w:t>1.拟派团队分组合理架构清晰，人员工作经历丰富、思想道德、业务能力和综合素质高，人员分工明确，得6-10（含）分；2.拟派团队分组合理架构清晰，人员有一定工作经历、思想道德、业务能力和综合素质较高，人员分工比较明确，得3-6（含）分；3.拟派团队分组与架构合理性、清晰度一般，人员思想道德要求、业务能力和综合素质一般，人员分工一般，得1-3（含）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审计工作进度与时间安排</w:t>
            </w:r>
          </w:p>
        </w:tc>
        <w:tc>
          <w:tcPr>
            <w:tcW w:type="dxa" w:w="3115"/>
          </w:tcPr>
          <w:p>
            <w:pPr>
              <w:pStyle w:val="null5"/>
              <w:jc w:val="left"/>
            </w:pPr>
            <w:r>
              <w:rPr>
                <w:rFonts w:ascii="仿宋_GB2312" w:hAnsi="仿宋_GB2312" w:cs="仿宋_GB2312" w:eastAsia="仿宋_GB2312"/>
              </w:rPr>
              <w:t>1.审计计划与时间安排合理，审计程序科学合理，方法得当可行，保障措施得当，得3-5（含）分；2.审计计划与时间安排比较合理，审计程序科学合理性一般，方法可行性一般，保障措施比较得当，得1-3（含）分；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审计质量内部复核流程</w:t>
            </w:r>
          </w:p>
        </w:tc>
        <w:tc>
          <w:tcPr>
            <w:tcW w:type="dxa" w:w="3115"/>
          </w:tcPr>
          <w:p>
            <w:pPr>
              <w:pStyle w:val="null5"/>
              <w:jc w:val="left"/>
            </w:pPr>
            <w:r>
              <w:rPr>
                <w:rFonts w:ascii="仿宋_GB2312" w:hAnsi="仿宋_GB2312" w:cs="仿宋_GB2312" w:eastAsia="仿宋_GB2312"/>
              </w:rPr>
              <w:t>1.提供的审计质量内部复核流程完善、健全，并提供可体现内部复核流程有效的证明材料，得6-10（含）分；2.提供的审计质量内部复核流程较为完善、健全，并提供可体现内部复核流程有效的证明材料，得3-6（含）分；3.提供的审计质量内部复核流程不够完善、健全，或无法提供可体现内部复核流程有效的证明材料，得1-3（含）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近三年（2022年01月01日至今，以合同签署日期为准）完成相同或类似项目业绩每提供一个得2分，未提供或提供的不符合要求的不得分，最多得10分。 注： 1.响应文件中须提供相关业绩的合同，未提供不得分。 2.项目负责人业绩与企业业绩，可重复计分。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拟派项目负责人近三年（2022年01月01日至今）担任过类似项目的项目负责人（须为本单位的注册会计师），每有一项业绩得2分，最多得4分。注：项目负责人业绩以合同及其对应出具的成果文件印章页为准。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拟派的专业技术服务人员中（项目负责人除外）每增加一名本单位注册会计师的得1分，最多得2分；拟派人员中具有经济或财务类相关专业中级及以上职称的，每有一个得2分，最多得4分。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