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四子王旗供济堂镇供济堂村自来水老旧管道换新工程建设项目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四子王旗供济堂镇人民政府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内蒙古源熙项目管理有限公司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WSZCSZS-C-G-250003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内蒙古源熙项目管理有限公司</w:t>
      </w:r>
      <w:r>
        <w:rPr>
          <w:rFonts w:ascii="仿宋_GB2312" w:hAnsi="仿宋_GB2312" w:cs="仿宋_GB2312" w:eastAsia="仿宋_GB2312"/>
        </w:rPr>
        <w:t xml:space="preserve"> 受 </w:t>
      </w:r>
      <w:r>
        <w:rPr>
          <w:rFonts w:ascii="仿宋_GB2312" w:hAnsi="仿宋_GB2312" w:cs="仿宋_GB2312" w:eastAsia="仿宋_GB2312"/>
        </w:rPr>
        <w:t>四子王旗供济堂镇人民政府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四子王旗供济堂镇供济堂村自来水老旧管道换新工程建设项目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四子王旗供济堂镇供济堂村自来水老旧管道换新工程建设项目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WSZCSZS-C-G-250003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乌政采计划[2025]四子00003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3,981,214.00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供济堂村自来水老旧管道换新工程建设项目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3,981,214.00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供应商须具备建设行政主管部门颁发的有效的[市政公用工程施工总承包叁级]（含）以上资质，如投标人已申办2020年11月30日建市〔2020〕94号《住房和城乡建设部关于印发建设工程企业资质管理制度改革方案的通知》中住建部要求的最新资质，须具备建设行政主管部门颁发的有效的[施工综合资质]或[市政公用工程施工总承包乙级]（含）以上资质，并在人员、设备、资金等方面具有相应的能力，同时具有有效的安全生产许可证； 2）拟派项目负责人（项目经理）须具备本企业注册的[市政公用工程二级]（含）以上注册建造师证书和有效的安全生产考核合格证书，且未担任其它在建工程项目的项目经理</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内蒙古源熙项目管理有限公司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新城区成吉思汗大街琦琳北辰C座12楼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李娜、陈艳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0471-3240432</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四子王旗供济堂镇人民政府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四子王旗供济堂镇</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011800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张云峰</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18632486881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代理服务费收费标准：参照《内蒙古自治区建设工程招标代理服务收费指导意见》内工建协【2022】34号文件</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四子王旗供济堂镇人民政府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内蒙古源熙项目管理有限公司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四子王旗供济堂镇供济堂村自来水老旧管道换新工程建设项目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自合同签订之日起200日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四子王旗供济堂镇供济堂村，按采购人要求</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1、合同签订后，施工队及材料进场支付合同价款的30%，达到付款条件起30日，支付合同总金额的30.00%</w:t>
            </w:r>
          </w:p>
          <w:p>
            <w:pPr>
              <w:pStyle w:val="null5"/>
              <w:jc w:val="left"/>
            </w:pPr>
            <w:r>
              <w:rPr>
                <w:rFonts w:ascii="仿宋_GB2312" w:hAnsi="仿宋_GB2312" w:cs="仿宋_GB2312" w:eastAsia="仿宋_GB2312"/>
              </w:rPr>
              <w:t>2、按工程进度支付，直至工程竣工验收合格后支付至合同价款的80%，达到付款条件起30日，支付合同总金额的50.00%</w:t>
            </w:r>
          </w:p>
          <w:p>
            <w:pPr>
              <w:pStyle w:val="null5"/>
              <w:jc w:val="left"/>
            </w:pPr>
            <w:r>
              <w:rPr>
                <w:rFonts w:ascii="仿宋_GB2312" w:hAnsi="仿宋_GB2312" w:cs="仿宋_GB2312" w:eastAsia="仿宋_GB2312"/>
              </w:rPr>
              <w:t>3、工程竣工结算审计结束后支付至审定金额的97%，达到付款条件起30日，支付合同总金额的17.00%</w:t>
            </w:r>
          </w:p>
          <w:p>
            <w:pPr>
              <w:pStyle w:val="null5"/>
              <w:jc w:val="left"/>
            </w:pPr>
            <w:r>
              <w:rPr>
                <w:rFonts w:ascii="仿宋_GB2312" w:hAnsi="仿宋_GB2312" w:cs="仿宋_GB2312" w:eastAsia="仿宋_GB2312"/>
              </w:rPr>
              <w:t>4、竣工验收合格两年后无质量问题支付剩余款项，达到付款条件起30日，支付合同总金额的3.00%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标的名称：供济堂村自来水老旧管道换新工程建设项目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详见工程量清单及图纸要求。</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审查供应商提供的2023年度经会计师事务所审计的财务审计报告或银行资信证明或具有良好的商业信誉和健全的财务会计制度的声明函。</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审查供应商提供的近一年内任意连续三个月依法纳税和缴纳社保的完税证明或依法缴纳税收和社会保障资金的声明函。</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审查供应商提供的具有履行合同所必需的设备和专业技术能力的声明函。</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本项目不允许联合体参与</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供应商须具备建设行政主管部门颁发的有效的[市政公用工程施工总承包叁级]（含）以上资质，如投标人已申办2020年11月30日建市〔2020〕94号《住房和城乡建设部关于印发建设工程企业资质管理制度改革方案的通知》中住建部要求的最新资质，须具备建设行政主管部门颁发的有效的[施工综合资质]或[市政公用工程施工总承包乙级]（含）以上资质，并在人员、设备、资金等方面具有相应的能力，同时具有有效的安全生产许可证； 2）拟派项目负责人（项目经理）须具备本企业注册的[市政公用工程二级]（含）以上注册建造师证书和有效的安全生产考核合格证书，且未担任其它在建工程项目的项目经理</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施工组织设计的格式规范,内容完整，重点突出，方案可行，措施具体，针对性强，具有前瞻性和可操作性，数据准确无误，文字简明扼要，逻辑性强，图表清晰，本项最高得4分。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 技术措施</w:t>
            </w:r>
          </w:p>
        </w:tc>
        <w:tc>
          <w:tcPr>
            <w:tcW w:type="dxa" w:w="3115"/>
          </w:tcPr>
          <w:p>
            <w:pPr>
              <w:pStyle w:val="null5"/>
              <w:jc w:val="left"/>
            </w:pPr>
            <w:r>
              <w:rPr>
                <w:rFonts w:ascii="仿宋_GB2312" w:hAnsi="仿宋_GB2312" w:cs="仿宋_GB2312" w:eastAsia="仿宋_GB2312"/>
              </w:rPr>
              <w:t>供应商提供施工方案与技术措施方案，包括对项目现状和施工环境的分析、施工组织、施工准备、施工工艺流程、主要施工方法及各项技术措施等方面内容进行评审，每有一项最高得2分，本项最高得12分。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供应商提供质量管理方案，包括质量目标、质量管理体系、质量管理措施、质量通病防治措施等内容进行评审，每有一项最高得2分，本项最高得8分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安全文明体系与措施</w:t>
            </w:r>
          </w:p>
        </w:tc>
        <w:tc>
          <w:tcPr>
            <w:tcW w:type="dxa" w:w="3115"/>
          </w:tcPr>
          <w:p>
            <w:pPr>
              <w:pStyle w:val="null5"/>
              <w:jc w:val="left"/>
            </w:pPr>
            <w:r>
              <w:rPr>
                <w:rFonts w:ascii="仿宋_GB2312" w:hAnsi="仿宋_GB2312" w:cs="仿宋_GB2312" w:eastAsia="仿宋_GB2312"/>
              </w:rPr>
              <w:t>供应商提供安全文明施工方案，包括安全目标和文明施工目标、安全文明施工管理体系、安全文明施工措施、施工现场安全应急预案等内容进行评审，每有一项最高得2分，本项最高得8分。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施工进度计划与保证措施</w:t>
            </w:r>
          </w:p>
        </w:tc>
        <w:tc>
          <w:tcPr>
            <w:tcW w:type="dxa" w:w="3115"/>
          </w:tcPr>
          <w:p>
            <w:pPr>
              <w:pStyle w:val="null5"/>
              <w:jc w:val="left"/>
            </w:pPr>
            <w:r>
              <w:rPr>
                <w:rFonts w:ascii="仿宋_GB2312" w:hAnsi="仿宋_GB2312" w:cs="仿宋_GB2312" w:eastAsia="仿宋_GB2312"/>
              </w:rPr>
              <w:t>供应商提供本项目施工进度计划与保证措施，包括施工进度计划图表、进度控制的方法和措施、进度控制的重难点分析和应对措施三个方面进行评审，每有一项最高得2分，本项最高得6分。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供应商提供施工环境保护措施方案，包括环境管理体系、施工现场环境保护措施、绿色施工四节一环保措施等三个方面进行评审，每有一项最高得2分，本项最高得6分。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 计划</w:t>
            </w:r>
          </w:p>
        </w:tc>
        <w:tc>
          <w:tcPr>
            <w:tcW w:type="dxa" w:w="3115"/>
          </w:tcPr>
          <w:p>
            <w:pPr>
              <w:pStyle w:val="null5"/>
              <w:jc w:val="left"/>
            </w:pPr>
            <w:r>
              <w:rPr>
                <w:rFonts w:ascii="仿宋_GB2312" w:hAnsi="仿宋_GB2312" w:cs="仿宋_GB2312" w:eastAsia="仿宋_GB2312"/>
              </w:rPr>
              <w:t>供应商提供资源配备计划，包括劳动力配备计划、设备和机械配置计划、材料采供计划、施工检测仪器试验设备配备计划等内容进行评审，每有一项最高得2分，本项最高得8分。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成品保护措施</w:t>
            </w:r>
          </w:p>
        </w:tc>
        <w:tc>
          <w:tcPr>
            <w:tcW w:type="dxa" w:w="3115"/>
          </w:tcPr>
          <w:p>
            <w:pPr>
              <w:pStyle w:val="null5"/>
              <w:jc w:val="left"/>
            </w:pPr>
            <w:r>
              <w:rPr>
                <w:rFonts w:ascii="仿宋_GB2312" w:hAnsi="仿宋_GB2312" w:cs="仿宋_GB2312" w:eastAsia="仿宋_GB2312"/>
              </w:rPr>
              <w:t>供应商提供成品保护措施，措施合理、有效、满足工程要求，最高得3分。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项目组织 机构</w:t>
            </w:r>
          </w:p>
        </w:tc>
        <w:tc>
          <w:tcPr>
            <w:tcW w:type="dxa" w:w="3115"/>
          </w:tcPr>
          <w:p>
            <w:pPr>
              <w:pStyle w:val="null5"/>
              <w:jc w:val="left"/>
            </w:pPr>
            <w:r>
              <w:rPr>
                <w:rFonts w:ascii="仿宋_GB2312" w:hAnsi="仿宋_GB2312" w:cs="仿宋_GB2312" w:eastAsia="仿宋_GB2312"/>
              </w:rPr>
              <w:t>拟派项目管理机构（除项目经理外）须配备技术负责人、施工员、质检员（质量员）、资料员、安全员和造价员（预算员），每提供一个且资料齐全得0.5分，本项最高得3分。 注：1.以上人员需要提供身份证、岗位资格证、劳动合同，安全员须提供安全生产考核合格证，资料不全不予计分。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拟派项目经理业绩</w:t>
            </w:r>
          </w:p>
        </w:tc>
        <w:tc>
          <w:tcPr>
            <w:tcW w:type="dxa" w:w="3115"/>
          </w:tcPr>
          <w:p>
            <w:pPr>
              <w:pStyle w:val="null5"/>
              <w:jc w:val="left"/>
            </w:pPr>
            <w:r>
              <w:rPr>
                <w:rFonts w:ascii="仿宋_GB2312" w:hAnsi="仿宋_GB2312" w:cs="仿宋_GB2312" w:eastAsia="仿宋_GB2312"/>
              </w:rPr>
              <w:t>近三年担任过类似项目项目经理的，每提供一项类似业绩得2分,本项最高得4分。 注：1.近三年指2022年1月1日至提交响应文件截止时间止。 2.类似业绩是指市政工程类相关业绩。 3.供应商须提供中标通知书及施工合同关键页，且以合同签订时间为准。 4.中标通知书或合同上需体现拟派项目经理身份信息。</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近三年供应商承接的类似工程项目业绩，每提供一个业绩得2分，本项最高得8分； 注：1.近三年指2022年1月1日至提交响应文件截止时间止。 2.类似业绩是指市政工程类业绩。 3.供应商须提供中标通知书及施工合同关键页，且以合同签订时间为准。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