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兴安盟大数据精准教学云平台服务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兴安盟教育局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兴安盟鑫舟工程项目管理有限责任公司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152203-XZGC-CS-20250001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兴安盟鑫舟工程项目管理有限责任公司</w:t>
      </w:r>
      <w:r>
        <w:rPr>
          <w:rFonts w:ascii="仿宋_GB2312" w:hAnsi="仿宋_GB2312" w:cs="仿宋_GB2312" w:eastAsia="仿宋_GB2312"/>
        </w:rPr>
        <w:t xml:space="preserve"> 受 </w:t>
      </w:r>
      <w:r>
        <w:rPr>
          <w:rFonts w:ascii="仿宋_GB2312" w:hAnsi="仿宋_GB2312" w:cs="仿宋_GB2312" w:eastAsia="仿宋_GB2312"/>
        </w:rPr>
        <w:t>兴安盟教育局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兴安盟大数据精准教学云平台服务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兴安盟大数据精准教学云平台服务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152203-XZGC-CS-20250001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兴财购计划[2025]00068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1,557,000.00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兴安盟大数据精准教学云平台服务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1,557,000.00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兴安盟鑫舟工程项目管理有限责任公司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内蒙古自治区兴安盟乌兰浩特市和平街（南滨河小区盟检察院4号楼7单元102室）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陈鹏飞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18648453040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兴安盟教育局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兴安盟党政综合大楼637室</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苗禹</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15148930766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代理服务费收费标准：中标服务费参照《内工建协[2022]34号》</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兴安盟教育局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兴安盟鑫舟工程项目管理有限责任公司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兴安盟大数据精准教学云平台服务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验收之日起一年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1、签订合同后支付，达到付款条件起30日，支付合同总金额的30.00%</w:t>
            </w:r>
          </w:p>
          <w:p>
            <w:pPr>
              <w:pStyle w:val="null5"/>
              <w:jc w:val="left"/>
            </w:pPr>
            <w:r>
              <w:rPr>
                <w:rFonts w:ascii="仿宋_GB2312" w:hAnsi="仿宋_GB2312" w:cs="仿宋_GB2312" w:eastAsia="仿宋_GB2312"/>
              </w:rPr>
              <w:t>2、竣工验收合格后支付，达到付款条件起30日，支付合同总金额的70.00%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标的名称：兴安盟大数据精准教学云平台服务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审查供应商提供的具有良好的商业信誉和健全的财务会计制度的相关材料。可提供“具有良好的商业信誉和健全 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审查供应商提供的依法缴纳税收和社会保障资金的相关材料。可根据自身情况作出“依法缴纳税收和社保”的承诺并加盖公章。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审查供应商提供的具有履行合同所必需的设备和专业技术能力的证明材料。可提供“具有履行合同所必需的设备和专业技术能力”的承诺并加盖公章。</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响应情况</w:t>
            </w:r>
          </w:p>
        </w:tc>
        <w:tc>
          <w:tcPr>
            <w:tcW w:type="dxa" w:w="3115"/>
          </w:tcPr>
          <w:p>
            <w:pPr>
              <w:pStyle w:val="null5"/>
              <w:jc w:val="left"/>
            </w:pPr>
            <w:r>
              <w:rPr>
                <w:rFonts w:ascii="仿宋_GB2312" w:hAnsi="仿宋_GB2312" w:cs="仿宋_GB2312" w:eastAsia="仿宋_GB2312"/>
              </w:rPr>
              <w:t>投标文件满足招标文件中技术规格要求加“▲”条款每有一条得2分，满分28分。注意：要求提供系统功能应用界面截图。</w:t>
            </w:r>
          </w:p>
        </w:tc>
        <w:tc>
          <w:tcPr>
            <w:tcW w:type="dxa" w:w="1038"/>
          </w:tcPr>
          <w:p>
            <w:pPr>
              <w:pStyle w:val="null5"/>
              <w:jc w:val="right"/>
            </w:pPr>
            <w:r>
              <w:rPr>
                <w:rFonts w:ascii="仿宋_GB2312" w:hAnsi="仿宋_GB2312" w:cs="仿宋_GB2312" w:eastAsia="仿宋_GB2312"/>
              </w:rPr>
              <w:t>28.00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备授课应用对接方案</w:t>
            </w:r>
          </w:p>
        </w:tc>
        <w:tc>
          <w:tcPr>
            <w:tcW w:type="dxa" w:w="3115"/>
          </w:tcPr>
          <w:p>
            <w:pPr>
              <w:pStyle w:val="null5"/>
              <w:jc w:val="left"/>
            </w:pPr>
            <w:r>
              <w:rPr>
                <w:rFonts w:ascii="仿宋_GB2312" w:hAnsi="仿宋_GB2312" w:cs="仿宋_GB2312" w:eastAsia="仿宋_GB2312"/>
              </w:rPr>
              <w:t>投标人提供所投产品与国家中小学智慧教育平台对接方案，实现备授课应用，提供的对接方案或案例合理切实可行的得6分，可行得3分，欠缺得1分，未提供得0分。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布置作业对接方案</w:t>
            </w:r>
          </w:p>
        </w:tc>
        <w:tc>
          <w:tcPr>
            <w:tcW w:type="dxa" w:w="3115"/>
          </w:tcPr>
          <w:p>
            <w:pPr>
              <w:pStyle w:val="null5"/>
              <w:jc w:val="left"/>
            </w:pPr>
            <w:r>
              <w:rPr>
                <w:rFonts w:ascii="仿宋_GB2312" w:hAnsi="仿宋_GB2312" w:cs="仿宋_GB2312" w:eastAsia="仿宋_GB2312"/>
              </w:rPr>
              <w:t>投标人提供所投产品与国家基础教育综合管理服务平台对接方案，实现老师布置作业、学生完成作业数据上传。提供的对接方案合理切实可行的得6分，可行得3分，欠缺得1分，未提供得0分。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1.投标人提供的服务方案内容完整，服务人员配置及组织计划、服务流程及施工计划合理切实可行，针对性强，可操作性强的得15分。 2.投标人提供的服务方案内容较完整，服务人员配置及组织计划、服务流程及施工计划合理可行，有针对性，有可操作性的得9分。 3.投标人提供的服务方案内容不完整，服务人员配置及组织计划、服务流程及施工计划针对性差，可操作性差的得4分。 4.不提供得0分。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服务保障措施</w:t>
            </w:r>
          </w:p>
        </w:tc>
        <w:tc>
          <w:tcPr>
            <w:tcW w:type="dxa" w:w="3115"/>
          </w:tcPr>
          <w:p>
            <w:pPr>
              <w:pStyle w:val="null5"/>
              <w:jc w:val="left"/>
            </w:pPr>
            <w:r>
              <w:rPr>
                <w:rFonts w:ascii="仿宋_GB2312" w:hAnsi="仿宋_GB2312" w:cs="仿宋_GB2312" w:eastAsia="仿宋_GB2312"/>
              </w:rPr>
              <w:t>1.保证措施、保密措施健全完善，建立完整的工作台帐、工作信息收集、反馈满足项目要求，得10分； 2.保证措施、保密措施完善，有工作台帐、工作信息收集、反馈得6分； 3.保证措施、保密措施差，工作信息收集、反馈无法满足项目要求，得2分； 4.不提供得0分。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服务响应能力措施</w:t>
            </w:r>
          </w:p>
        </w:tc>
        <w:tc>
          <w:tcPr>
            <w:tcW w:type="dxa" w:w="3115"/>
          </w:tcPr>
          <w:p>
            <w:pPr>
              <w:pStyle w:val="null5"/>
              <w:jc w:val="left"/>
            </w:pPr>
            <w:r>
              <w:rPr>
                <w:rFonts w:ascii="仿宋_GB2312" w:hAnsi="仿宋_GB2312" w:cs="仿宋_GB2312" w:eastAsia="仿宋_GB2312"/>
              </w:rPr>
              <w:t>1.投标人有快速的服务响应能力，响应时间优于采购需求的，并具有详细可行的提供快速响应措施，得5分； 2.投标人有服务响应能力，响应时间满足采购需求，并具有可行的响应措施，得3分； 3.不提供响应措施得0分。 注：招标需求为实质性条款，不满足视为无效投标。 招标需求：投标人须提供 7×24小时的线上技术咨询服务，若系统发生故障，投标人须在30分钟内做出响应，在1小时内解决故障。</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2022年1月1日至今具有承担过类似项目业绩，有一项得10分，最高得20分。提供合同扫描件。</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