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A0F1">
      <w:pPr>
        <w:keepNext w:val="0"/>
        <w:keepLines w:val="0"/>
        <w:pageBreakBefore w:val="0"/>
        <w:kinsoku/>
        <w:wordWrap/>
        <w:overflowPunct/>
        <w:topLinePunct w:val="0"/>
        <w:autoSpaceDE/>
        <w:autoSpaceDN/>
        <w:bidi w:val="0"/>
        <w:adjustRightInd/>
        <w:snapToGrid/>
        <w:ind w:firstLine="2409" w:firstLineChars="600"/>
        <w:jc w:val="left"/>
        <w:rPr>
          <w:b/>
          <w:bCs/>
          <w:sz w:val="40"/>
          <w:szCs w:val="24"/>
        </w:rPr>
      </w:pPr>
      <w:r>
        <w:rPr>
          <w:rFonts w:hint="eastAsia" w:asciiTheme="minorHAnsi" w:hAnsiTheme="minorHAnsi" w:eastAsiaTheme="minorEastAsia" w:cstheme="minorBidi"/>
          <w:b/>
          <w:bCs/>
          <w:sz w:val="40"/>
          <w:szCs w:val="24"/>
          <w:lang w:val="en-US" w:eastAsia="zh-CN"/>
        </w:rPr>
        <w:t>办公</w:t>
      </w:r>
      <w:r>
        <w:rPr>
          <w:rFonts w:hint="eastAsia" w:cstheme="minorBidi"/>
          <w:b/>
          <w:bCs/>
          <w:sz w:val="40"/>
          <w:szCs w:val="24"/>
          <w:lang w:val="en-US" w:eastAsia="zh-CN"/>
        </w:rPr>
        <w:t>家具</w:t>
      </w:r>
      <w:r>
        <w:rPr>
          <w:b/>
          <w:bCs/>
          <w:sz w:val="40"/>
          <w:szCs w:val="24"/>
        </w:rPr>
        <w:t>采购合同</w:t>
      </w:r>
    </w:p>
    <w:p w14:paraId="1EB830BB">
      <w:pPr>
        <w:keepNext w:val="0"/>
        <w:keepLines w:val="0"/>
        <w:pageBreakBefore w:val="0"/>
        <w:kinsoku/>
        <w:wordWrap/>
        <w:overflowPunct/>
        <w:topLinePunct w:val="0"/>
        <w:autoSpaceDE/>
        <w:autoSpaceDN/>
        <w:bidi w:val="0"/>
        <w:adjustRightInd/>
        <w:snapToGrid/>
        <w:ind w:firstLine="3840" w:firstLineChars="1600"/>
        <w:jc w:val="right"/>
        <w:rPr>
          <w:rFonts w:hint="default" w:ascii="Calibri" w:hAnsi="Calibri" w:eastAsia="宋体" w:cs="Calibri"/>
          <w:color w:val="000000"/>
          <w:sz w:val="24"/>
          <w:szCs w:val="21"/>
          <w:lang w:val="en-US" w:eastAsia="zh-CN"/>
        </w:rPr>
      </w:pPr>
      <w:r>
        <w:rPr>
          <w:rFonts w:hint="eastAsia" w:ascii="Calibri" w:hAnsi="Calibri" w:eastAsia="宋体" w:cs="Calibri"/>
          <w:color w:val="000000"/>
          <w:sz w:val="24"/>
          <w:szCs w:val="21"/>
          <w:lang w:val="en-US" w:eastAsia="zh-CN"/>
        </w:rPr>
        <w:t>合同编号：202504024</w:t>
      </w:r>
    </w:p>
    <w:p w14:paraId="216F275A">
      <w:pPr>
        <w:keepNext w:val="0"/>
        <w:keepLines w:val="0"/>
        <w:pageBreakBefore w:val="0"/>
        <w:kinsoku/>
        <w:wordWrap/>
        <w:overflowPunct/>
        <w:topLinePunct w:val="0"/>
        <w:autoSpaceDE/>
        <w:autoSpaceDN/>
        <w:bidi w:val="0"/>
        <w:adjustRightInd/>
        <w:snapToGrid/>
        <w:jc w:val="left"/>
        <w:rPr>
          <w:rFonts w:ascii="Calibri" w:hAnsi="Calibri" w:eastAsia="Calibri" w:cs="Calibri"/>
          <w:color w:val="323232"/>
          <w:sz w:val="28"/>
          <w:szCs w:val="24"/>
        </w:rPr>
      </w:pPr>
      <w:r>
        <w:rPr>
          <w:rFonts w:ascii="宋体" w:hAnsi="宋体" w:eastAsia="宋体" w:cs="宋体"/>
          <w:color w:val="323232"/>
          <w:sz w:val="28"/>
          <w:szCs w:val="24"/>
        </w:rPr>
        <w:t>买方（甲方）：</w:t>
      </w:r>
      <w:r>
        <w:rPr>
          <w:rFonts w:hint="eastAsia" w:ascii="Calibri" w:hAnsi="Calibri" w:eastAsia="Calibri" w:cs="Calibri"/>
          <w:b/>
          <w:bCs/>
          <w:color w:val="323232"/>
          <w:sz w:val="28"/>
          <w:szCs w:val="24"/>
          <w:u w:val="single"/>
          <w:lang w:val="en-US" w:eastAsia="zh-CN"/>
        </w:rPr>
        <w:t>乌兰浩特市社会保险事业服务中心</w:t>
      </w:r>
      <w:r>
        <w:rPr>
          <w:rFonts w:ascii="Calibri" w:hAnsi="Calibri" w:eastAsia="Calibri" w:cs="Calibri"/>
          <w:b/>
          <w:bCs/>
          <w:color w:val="323232"/>
          <w:sz w:val="28"/>
          <w:szCs w:val="24"/>
          <w:u w:val="single"/>
        </w:rPr>
        <w:t xml:space="preserve">        </w:t>
      </w:r>
      <w:r>
        <w:rPr>
          <w:rFonts w:ascii="Calibri" w:hAnsi="Calibri" w:eastAsia="Calibri" w:cs="Calibri"/>
          <w:color w:val="323232"/>
          <w:sz w:val="28"/>
          <w:szCs w:val="24"/>
        </w:rPr>
        <w:t xml:space="preserve">          </w:t>
      </w:r>
    </w:p>
    <w:p w14:paraId="39A21D6D">
      <w:pPr>
        <w:keepNext w:val="0"/>
        <w:keepLines w:val="0"/>
        <w:pageBreakBefore w:val="0"/>
        <w:kinsoku/>
        <w:wordWrap/>
        <w:overflowPunct/>
        <w:topLinePunct w:val="0"/>
        <w:autoSpaceDE/>
        <w:autoSpaceDN/>
        <w:bidi w:val="0"/>
        <w:adjustRightInd/>
        <w:snapToGrid/>
        <w:jc w:val="left"/>
        <w:rPr>
          <w:rFonts w:hint="eastAsia" w:ascii="Calibri" w:hAnsi="Calibri" w:eastAsia="宋体" w:cs="Calibri"/>
          <w:color w:val="000000"/>
          <w:sz w:val="28"/>
          <w:szCs w:val="24"/>
          <w:u w:val="single"/>
          <w:lang w:eastAsia="zh-CN"/>
        </w:rPr>
      </w:pPr>
      <w:r>
        <w:rPr>
          <w:rFonts w:ascii="宋体" w:hAnsi="宋体" w:eastAsia="宋体" w:cs="宋体"/>
          <w:color w:val="323232"/>
          <w:sz w:val="28"/>
          <w:szCs w:val="24"/>
        </w:rPr>
        <w:t>卖方（乙方）</w:t>
      </w:r>
      <w:r>
        <w:rPr>
          <w:rFonts w:hint="eastAsia" w:ascii="宋体" w:hAnsi="宋体" w:eastAsia="宋体" w:cs="宋体"/>
          <w:color w:val="323232"/>
          <w:sz w:val="28"/>
          <w:szCs w:val="24"/>
          <w:lang w:eastAsia="zh-CN"/>
        </w:rPr>
        <w:t>：</w:t>
      </w:r>
      <w:r>
        <w:rPr>
          <w:rFonts w:hint="eastAsia" w:ascii="宋体" w:hAnsi="宋体" w:eastAsia="宋体" w:cs="宋体"/>
          <w:b/>
          <w:bCs/>
          <w:color w:val="323232"/>
          <w:sz w:val="28"/>
          <w:szCs w:val="24"/>
          <w:u w:val="single"/>
          <w:lang w:val="en-US" w:eastAsia="zh-CN"/>
        </w:rPr>
        <w:t>乌兰浩特市佺美办公家具店</w:t>
      </w:r>
      <w:r>
        <w:rPr>
          <w:rFonts w:ascii="Calibri" w:hAnsi="Calibri" w:eastAsia="Calibri" w:cs="Calibri"/>
          <w:color w:val="000000"/>
          <w:sz w:val="28"/>
          <w:szCs w:val="24"/>
          <w:u w:val="single"/>
        </w:rPr>
        <w:t xml:space="preserve"> </w:t>
      </w:r>
      <w:r>
        <w:rPr>
          <w:rFonts w:hint="eastAsia" w:ascii="Calibri" w:hAnsi="Calibri" w:eastAsia="宋体" w:cs="Calibri"/>
          <w:color w:val="000000"/>
          <w:sz w:val="28"/>
          <w:szCs w:val="24"/>
          <w:u w:val="single"/>
          <w:lang w:val="en-US" w:eastAsia="zh-CN"/>
        </w:rPr>
        <w:t xml:space="preserve">     </w:t>
      </w:r>
    </w:p>
    <w:p w14:paraId="3769A003">
      <w:pPr>
        <w:keepNext w:val="0"/>
        <w:keepLines w:val="0"/>
        <w:pageBreakBefore w:val="0"/>
        <w:kinsoku/>
        <w:wordWrap/>
        <w:overflowPunct/>
        <w:topLinePunct w:val="0"/>
        <w:autoSpaceDE/>
        <w:autoSpaceDN/>
        <w:bidi w:val="0"/>
        <w:adjustRightInd/>
        <w:snapToGrid/>
        <w:ind w:firstLine="560" w:firstLineChars="2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根据《中华人民共和国合同法》，甲乙双方本着平等自愿、互惠互利、诚实守信的原则，经充分协商，就</w:t>
      </w:r>
      <w:r>
        <w:rPr>
          <w:rFonts w:hint="eastAsia" w:ascii="宋体" w:hAnsi="宋体" w:eastAsia="宋体" w:cs="宋体"/>
          <w:color w:val="323232"/>
          <w:sz w:val="28"/>
          <w:szCs w:val="24"/>
          <w:u w:val="single"/>
          <w:lang w:eastAsia="zh-CN"/>
        </w:rPr>
        <w:t>办公家具</w:t>
      </w:r>
      <w:r>
        <w:rPr>
          <w:rFonts w:ascii="宋体" w:hAnsi="宋体" w:eastAsia="宋体" w:cs="宋体"/>
          <w:color w:val="323232"/>
          <w:sz w:val="28"/>
          <w:szCs w:val="24"/>
          <w:u w:val="none"/>
        </w:rPr>
        <w:t>采购</w:t>
      </w:r>
      <w:r>
        <w:rPr>
          <w:rFonts w:ascii="宋体" w:hAnsi="宋体" w:eastAsia="宋体" w:cs="宋体"/>
          <w:color w:val="323232"/>
          <w:sz w:val="28"/>
          <w:szCs w:val="24"/>
        </w:rPr>
        <w:t>事宜达成一致并签订本合同。</w:t>
      </w:r>
      <w:r>
        <w:rPr>
          <w:rFonts w:ascii="Calibri" w:hAnsi="Calibri" w:eastAsia="Calibri" w:cs="Calibri"/>
          <w:color w:val="000000"/>
          <w:sz w:val="28"/>
          <w:szCs w:val="24"/>
        </w:rPr>
        <w:t xml:space="preserve"> </w:t>
      </w:r>
    </w:p>
    <w:tbl>
      <w:tblPr>
        <w:tblStyle w:val="2"/>
        <w:tblW w:w="11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687"/>
        <w:gridCol w:w="1186"/>
        <w:gridCol w:w="1399"/>
        <w:gridCol w:w="1173"/>
        <w:gridCol w:w="696"/>
        <w:gridCol w:w="695"/>
        <w:gridCol w:w="1582"/>
        <w:gridCol w:w="1527"/>
        <w:gridCol w:w="1527"/>
      </w:tblGrid>
      <w:tr w14:paraId="74BA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24AA">
            <w:pPr>
              <w:keepNext w:val="0"/>
              <w:keepLines w:val="0"/>
              <w:widowControl/>
              <w:suppressLineNumbers w:val="0"/>
              <w:jc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D8A">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C3F">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产品详细名称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AE9">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计量单位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EBC">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入库数量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8D50">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单价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188F">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总价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0B9">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产品生产企业名称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51CE">
            <w:pPr>
              <w:keepNext w:val="0"/>
              <w:keepLines w:val="0"/>
              <w:widowControl/>
              <w:suppressLineNumbers w:val="0"/>
              <w:jc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产品生产企业规模（大/中/小）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BCC3">
            <w:pPr>
              <w:keepNext w:val="0"/>
              <w:keepLines w:val="0"/>
              <w:widowControl/>
              <w:suppressLineNumbers w:val="0"/>
              <w:jc w:val="center"/>
              <w:rPr>
                <w:rFonts w:hint="default"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备注</w:t>
            </w:r>
          </w:p>
        </w:tc>
      </w:tr>
      <w:tr w14:paraId="67A3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24F3">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F08C">
            <w:pPr>
              <w:keepNext w:val="0"/>
              <w:keepLines w:val="0"/>
              <w:widowControl/>
              <w:suppressLineNumbers w:val="0"/>
              <w:jc w:val="center"/>
              <w:rPr>
                <w:rFonts w:hint="default"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吧椅</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EF68">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E554">
            <w:pPr>
              <w:keepNext w:val="0"/>
              <w:keepLines w:val="0"/>
              <w:widowControl/>
              <w:suppressLineNumbers w:val="0"/>
              <w:jc w:val="center"/>
              <w:rPr>
                <w:rFonts w:hint="default" w:ascii="楷体" w:hAnsi="楷体" w:eastAsia="楷体" w:cs="楷体"/>
                <w:b/>
                <w:bCs/>
                <w:i w:val="0"/>
                <w:iCs w:val="0"/>
                <w:color w:val="000000"/>
                <w:sz w:val="21"/>
                <w:szCs w:val="21"/>
                <w:u w:val="none"/>
                <w:lang w:val="en-US" w:eastAsia="zh-CN"/>
              </w:rPr>
            </w:pPr>
            <w:r>
              <w:rPr>
                <w:rFonts w:hint="eastAsia" w:ascii="楷体" w:hAnsi="楷体" w:eastAsia="楷体" w:cs="楷体"/>
                <w:b/>
                <w:bCs/>
                <w:i w:val="0"/>
                <w:iCs w:val="0"/>
                <w:color w:val="000000"/>
                <w:sz w:val="21"/>
                <w:szCs w:val="21"/>
                <w:u w:val="none"/>
                <w:lang w:val="en-US" w:eastAsia="zh-CN"/>
              </w:rPr>
              <w:t>常规尺寸</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AC1">
            <w:pPr>
              <w:keepNext w:val="0"/>
              <w:keepLines w:val="0"/>
              <w:widowControl/>
              <w:suppressLineNumbers w:val="0"/>
              <w:jc w:val="center"/>
              <w:rPr>
                <w:rFonts w:hint="eastAsia" w:ascii="楷体" w:hAnsi="楷体" w:eastAsia="楷体" w:cs="楷体"/>
                <w:b/>
                <w:bCs/>
                <w:i w:val="0"/>
                <w:iCs w:val="0"/>
                <w:color w:val="000000"/>
                <w:sz w:val="21"/>
                <w:szCs w:val="21"/>
                <w:u w:val="none"/>
                <w:lang w:val="en-US" w:eastAsia="zh-CN"/>
              </w:rPr>
            </w:pPr>
            <w:r>
              <w:rPr>
                <w:rFonts w:hint="eastAsia" w:ascii="楷体" w:hAnsi="楷体" w:eastAsia="楷体" w:cs="楷体"/>
                <w:b/>
                <w:i w:val="0"/>
                <w:color w:val="000000"/>
                <w:sz w:val="21"/>
                <w:u w:val="none"/>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1649">
            <w:pPr>
              <w:keepNext w:val="0"/>
              <w:keepLines w:val="0"/>
              <w:widowControl/>
              <w:suppressLineNumbers w:val="0"/>
              <w:jc w:val="center"/>
              <w:rPr>
                <w:rFonts w:hint="default" w:ascii="楷体" w:hAnsi="楷体" w:eastAsia="楷体" w:cs="楷体"/>
                <w:b/>
                <w:bCs/>
                <w:i w:val="0"/>
                <w:iCs w:val="0"/>
                <w:color w:val="000000"/>
                <w:sz w:val="21"/>
                <w:szCs w:val="21"/>
                <w:u w:val="none"/>
                <w:lang w:val="en-US" w:eastAsia="zh-CN"/>
              </w:rPr>
            </w:pPr>
            <w:r>
              <w:rPr>
                <w:rFonts w:hint="eastAsia" w:ascii="楷体" w:hAnsi="楷体" w:eastAsia="楷体" w:cs="楷体"/>
                <w:b/>
                <w:i w:val="0"/>
                <w:color w:val="000000"/>
                <w:sz w:val="21"/>
                <w:u w:val="none"/>
                <w:lang w:val="en-US" w:eastAsia="zh-CN"/>
              </w:rPr>
              <w:t>180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97A0">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i w:val="0"/>
                <w:color w:val="000000"/>
                <w:sz w:val="21"/>
                <w:u w:val="none"/>
                <w:lang w:val="en-US" w:eastAsia="zh-CN"/>
              </w:rPr>
              <w:t>72</w:t>
            </w:r>
            <w:r>
              <w:rPr>
                <w:rFonts w:hint="eastAsia" w:ascii="楷体" w:hAnsi="楷体" w:eastAsia="楷体" w:cs="楷体"/>
                <w:b/>
                <w:i w:val="0"/>
                <w:color w:val="000000"/>
                <w:sz w:val="21"/>
                <w:u w:val="none"/>
              </w:rPr>
              <w:t>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C4F6">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中山市颂泰家具制造有限公司</w:t>
            </w:r>
            <w:r>
              <w:rPr>
                <w:rFonts w:hint="eastAsia" w:ascii="楷体" w:hAnsi="楷体" w:eastAsia="楷体" w:cs="楷体"/>
                <w:b/>
                <w:i w:val="0"/>
                <w:color w:val="000000"/>
                <w:sz w:val="21"/>
                <w:u w:val="none"/>
                <w:lang w:val="en-US" w:eastAsia="zh-CN" w:bidi="ar"/>
              </w:rPr>
              <w:t>定</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D55">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中型</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C08">
            <w:pPr>
              <w:keepNext w:val="0"/>
              <w:keepLines w:val="0"/>
              <w:widowControl/>
              <w:suppressLineNumbers w:val="0"/>
              <w:jc w:val="center"/>
              <w:rPr>
                <w:rFonts w:hint="eastAsia" w:ascii="楷体" w:hAnsi="楷体" w:eastAsia="楷体" w:cs="楷体"/>
                <w:b/>
                <w:bCs/>
                <w:i w:val="0"/>
                <w:iCs w:val="0"/>
                <w:color w:val="000000"/>
                <w:kern w:val="0"/>
                <w:sz w:val="21"/>
                <w:szCs w:val="21"/>
                <w:u w:val="none"/>
                <w:lang w:val="en-US" w:eastAsia="zh-CN" w:bidi="ar"/>
              </w:rPr>
            </w:pPr>
            <w:r>
              <w:rPr>
                <w:rFonts w:hint="eastAsia" w:ascii="楷体" w:hAnsi="楷体" w:eastAsia="楷体" w:cs="楷体"/>
                <w:b/>
                <w:bCs/>
                <w:i w:val="0"/>
                <w:iCs w:val="0"/>
                <w:color w:val="000000"/>
                <w:kern w:val="0"/>
                <w:sz w:val="21"/>
                <w:szCs w:val="21"/>
                <w:u w:val="none"/>
                <w:lang w:val="en-US" w:eastAsia="zh-CN" w:bidi="ar"/>
              </w:rPr>
              <w:drawing>
                <wp:inline distT="0" distB="0" distL="114300" distR="114300">
                  <wp:extent cx="822960" cy="1127125"/>
                  <wp:effectExtent l="0" t="0" r="0" b="0"/>
                  <wp:docPr id="3" name="图片 3" descr="83c5958a832f03213f6c8985a4c0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c5958a832f03213f6c8985a4c028c"/>
                          <pic:cNvPicPr>
                            <a:picLocks noChangeAspect="1"/>
                          </pic:cNvPicPr>
                        </pic:nvPicPr>
                        <pic:blipFill>
                          <a:blip r:embed="rId4"/>
                          <a:srcRect b="22960"/>
                          <a:stretch>
                            <a:fillRect/>
                          </a:stretch>
                        </pic:blipFill>
                        <pic:spPr>
                          <a:xfrm>
                            <a:off x="0" y="0"/>
                            <a:ext cx="822960" cy="1127125"/>
                          </a:xfrm>
                          <a:prstGeom prst="rect">
                            <a:avLst/>
                          </a:prstGeom>
                        </pic:spPr>
                      </pic:pic>
                    </a:graphicData>
                  </a:graphic>
                </wp:inline>
              </w:drawing>
            </w:r>
          </w:p>
        </w:tc>
      </w:tr>
      <w:tr w14:paraId="6DEA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1434">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7B3C">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8CEB">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B14E">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DD90">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01C1">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0807">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C4F3">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4387">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BDA6">
            <w:pPr>
              <w:keepNext w:val="0"/>
              <w:keepLines w:val="0"/>
              <w:widowControl/>
              <w:suppressLineNumbers w:val="0"/>
              <w:jc w:val="center"/>
              <w:rPr>
                <w:rFonts w:hint="eastAsia" w:ascii="楷体" w:hAnsi="楷体" w:eastAsia="楷体" w:cs="楷体"/>
                <w:b/>
                <w:bCs/>
                <w:i w:val="0"/>
                <w:iCs w:val="0"/>
                <w:color w:val="000000"/>
                <w:sz w:val="21"/>
                <w:szCs w:val="21"/>
                <w:u w:val="none"/>
              </w:rPr>
            </w:pPr>
          </w:p>
        </w:tc>
      </w:tr>
      <w:tr w14:paraId="254B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A038">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3</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5ACE">
            <w:pPr>
              <w:keepNext w:val="0"/>
              <w:keepLines w:val="0"/>
              <w:widowControl/>
              <w:suppressLineNumbers w:val="0"/>
              <w:jc w:val="left"/>
              <w:rPr>
                <w:rFonts w:hint="eastAsia" w:ascii="楷体" w:hAnsi="楷体" w:eastAsia="楷体" w:cs="楷体"/>
                <w:b/>
                <w:bCs/>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BDD">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158">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B25">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243">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5B3">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18C5">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D410">
            <w:pPr>
              <w:keepNext w:val="0"/>
              <w:keepLines w:val="0"/>
              <w:widowControl/>
              <w:suppressLineNumbers w:val="0"/>
              <w:jc w:val="center"/>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7051">
            <w:pPr>
              <w:keepNext w:val="0"/>
              <w:keepLines w:val="0"/>
              <w:widowControl/>
              <w:suppressLineNumbers w:val="0"/>
              <w:jc w:val="center"/>
              <w:rPr>
                <w:rFonts w:hint="eastAsia" w:ascii="楷体" w:hAnsi="楷体" w:eastAsia="楷体" w:cs="楷体"/>
                <w:b/>
                <w:bCs/>
                <w:i w:val="0"/>
                <w:iCs w:val="0"/>
                <w:color w:val="000000"/>
                <w:sz w:val="21"/>
                <w:szCs w:val="21"/>
                <w:u w:val="none"/>
              </w:rPr>
            </w:pPr>
          </w:p>
        </w:tc>
      </w:tr>
      <w:tr w14:paraId="5C226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E1F7">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3A7A">
            <w:pPr>
              <w:jc w:val="left"/>
              <w:rPr>
                <w:rFonts w:hint="eastAsia" w:ascii="楷体" w:hAnsi="楷体" w:eastAsia="楷体" w:cs="楷体"/>
                <w:b/>
                <w:bCs/>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60E3">
            <w:pPr>
              <w:jc w:val="left"/>
              <w:rPr>
                <w:rFonts w:hint="eastAsia" w:ascii="楷体" w:hAnsi="楷体" w:eastAsia="楷体" w:cs="楷体"/>
                <w:b/>
                <w:bCs/>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D33B">
            <w:pPr>
              <w:jc w:val="center"/>
              <w:rPr>
                <w:rFonts w:hint="eastAsia" w:ascii="楷体" w:hAnsi="楷体" w:eastAsia="楷体" w:cs="楷体"/>
                <w:b/>
                <w:bCs/>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2BEF">
            <w:pPr>
              <w:jc w:val="center"/>
              <w:rPr>
                <w:rFonts w:hint="eastAsia" w:ascii="楷体" w:hAnsi="楷体" w:eastAsia="楷体" w:cs="楷体"/>
                <w:b/>
                <w:bCs/>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5797">
            <w:pPr>
              <w:jc w:val="left"/>
              <w:rPr>
                <w:rFonts w:hint="eastAsia" w:ascii="楷体" w:hAnsi="楷体" w:eastAsia="楷体" w:cs="楷体"/>
                <w:b/>
                <w:bCs/>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FAD8">
            <w:pPr>
              <w:jc w:val="left"/>
              <w:rPr>
                <w:rFonts w:hint="eastAsia" w:ascii="楷体" w:hAnsi="楷体" w:eastAsia="楷体" w:cs="楷体"/>
                <w:b/>
                <w:bCs/>
                <w:i w:val="0"/>
                <w:iCs w:val="0"/>
                <w:color w:val="000000"/>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D9A4">
            <w:pPr>
              <w:jc w:val="left"/>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7003">
            <w:pPr>
              <w:jc w:val="left"/>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98E1">
            <w:pPr>
              <w:jc w:val="left"/>
              <w:rPr>
                <w:rFonts w:hint="eastAsia" w:ascii="楷体" w:hAnsi="楷体" w:eastAsia="楷体" w:cs="楷体"/>
                <w:b/>
                <w:bCs/>
                <w:i w:val="0"/>
                <w:iCs w:val="0"/>
                <w:color w:val="000000"/>
                <w:sz w:val="21"/>
                <w:szCs w:val="21"/>
                <w:u w:val="none"/>
              </w:rPr>
            </w:pPr>
          </w:p>
        </w:tc>
      </w:tr>
      <w:tr w14:paraId="4AB4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5D98">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915A">
            <w:pPr>
              <w:jc w:val="left"/>
              <w:rPr>
                <w:rFonts w:hint="eastAsia" w:ascii="楷体" w:hAnsi="楷体" w:eastAsia="楷体" w:cs="楷体"/>
                <w:b/>
                <w:bCs/>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36E">
            <w:pPr>
              <w:jc w:val="left"/>
              <w:rPr>
                <w:rFonts w:hint="eastAsia" w:ascii="楷体" w:hAnsi="楷体" w:eastAsia="楷体" w:cs="楷体"/>
                <w:b/>
                <w:bCs/>
                <w:i w:val="0"/>
                <w:iCs w:val="0"/>
                <w:color w:val="000000"/>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D825">
            <w:pPr>
              <w:jc w:val="left"/>
              <w:rPr>
                <w:rFonts w:hint="eastAsia" w:ascii="楷体" w:hAnsi="楷体" w:eastAsia="楷体" w:cs="楷体"/>
                <w:b/>
                <w:bCs/>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BAFD">
            <w:pPr>
              <w:jc w:val="left"/>
              <w:rPr>
                <w:rFonts w:hint="eastAsia" w:ascii="楷体" w:hAnsi="楷体" w:eastAsia="楷体" w:cs="楷体"/>
                <w:b/>
                <w:bCs/>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8CF3">
            <w:pPr>
              <w:jc w:val="left"/>
              <w:rPr>
                <w:rFonts w:hint="eastAsia" w:ascii="楷体" w:hAnsi="楷体" w:eastAsia="楷体" w:cs="楷体"/>
                <w:b/>
                <w:bCs/>
                <w:i w:val="0"/>
                <w:iCs w:val="0"/>
                <w:color w:val="000000"/>
                <w:sz w:val="21"/>
                <w:szCs w:val="21"/>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369F">
            <w:pPr>
              <w:jc w:val="left"/>
              <w:rPr>
                <w:rFonts w:hint="eastAsia" w:ascii="楷体" w:hAnsi="楷体" w:eastAsia="楷体" w:cs="楷体"/>
                <w:b/>
                <w:bCs/>
                <w:i w:val="0"/>
                <w:iCs w:val="0"/>
                <w:color w:val="000000"/>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A4A9">
            <w:pPr>
              <w:jc w:val="left"/>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EA9C">
            <w:pPr>
              <w:jc w:val="left"/>
              <w:rPr>
                <w:rFonts w:hint="eastAsia" w:ascii="楷体" w:hAnsi="楷体" w:eastAsia="楷体" w:cs="楷体"/>
                <w:b/>
                <w:bCs/>
                <w:i w:val="0"/>
                <w:iCs w:val="0"/>
                <w:color w:val="000000"/>
                <w:sz w:val="21"/>
                <w:szCs w:val="21"/>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51D">
            <w:pPr>
              <w:jc w:val="left"/>
              <w:rPr>
                <w:rFonts w:hint="eastAsia" w:ascii="楷体" w:hAnsi="楷体" w:eastAsia="楷体" w:cs="楷体"/>
                <w:b/>
                <w:bCs/>
                <w:i w:val="0"/>
                <w:iCs w:val="0"/>
                <w:color w:val="000000"/>
                <w:sz w:val="21"/>
                <w:szCs w:val="21"/>
                <w:u w:val="none"/>
              </w:rPr>
            </w:pPr>
          </w:p>
        </w:tc>
      </w:tr>
      <w:tr w14:paraId="63DE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631">
            <w:pPr>
              <w:keepNext w:val="0"/>
              <w:keepLines w:val="0"/>
              <w:widowControl/>
              <w:suppressLineNumbers w:val="0"/>
              <w:jc w:val="center"/>
              <w:rPr>
                <w:rFonts w:hint="eastAsia" w:ascii="楷体" w:hAnsi="楷体" w:eastAsia="楷体" w:cs="楷体"/>
                <w:b/>
                <w:bCs/>
                <w:i w:val="0"/>
                <w:iCs w:val="0"/>
                <w:color w:val="000000"/>
                <w:sz w:val="21"/>
                <w:szCs w:val="21"/>
                <w:u w:val="none"/>
              </w:rPr>
            </w:pPr>
            <w:r>
              <w:rPr>
                <w:rFonts w:hint="eastAsia" w:ascii="楷体" w:hAnsi="楷体" w:eastAsia="楷体" w:cs="楷体"/>
                <w:b/>
                <w:bCs/>
                <w:i w:val="0"/>
                <w:iCs w:val="0"/>
                <w:color w:val="000000"/>
                <w:kern w:val="0"/>
                <w:sz w:val="21"/>
                <w:szCs w:val="21"/>
                <w:u w:val="none"/>
                <w:lang w:val="en-US" w:eastAsia="zh-CN" w:bidi="ar"/>
              </w:rPr>
              <w:t>合计</w:t>
            </w:r>
          </w:p>
        </w:tc>
        <w:tc>
          <w:tcPr>
            <w:tcW w:w="89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2BFB14">
            <w:pPr>
              <w:keepNext w:val="0"/>
              <w:keepLines w:val="0"/>
              <w:widowControl/>
              <w:suppressLineNumbers w:val="0"/>
              <w:jc w:val="left"/>
              <w:rPr>
                <w:rFonts w:hint="default" w:ascii="楷体" w:hAnsi="楷体" w:eastAsia="楷体" w:cs="楷体"/>
                <w:b/>
                <w:bCs/>
                <w:i w:val="0"/>
                <w:iCs w:val="0"/>
                <w:color w:val="000000"/>
                <w:sz w:val="21"/>
                <w:szCs w:val="21"/>
                <w:u w:val="none"/>
                <w:lang w:val="en-US" w:eastAsia="zh-CN"/>
              </w:rPr>
            </w:pPr>
            <w:r>
              <w:rPr>
                <w:rFonts w:hint="eastAsia" w:ascii="楷体" w:hAnsi="楷体" w:eastAsia="楷体" w:cs="楷体"/>
                <w:b/>
                <w:i w:val="0"/>
                <w:color w:val="000000"/>
                <w:sz w:val="21"/>
                <w:u w:val="none"/>
                <w:lang w:val="en-US" w:eastAsia="zh-CN"/>
              </w:rPr>
              <w:t>720.00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A77">
            <w:pPr>
              <w:keepNext w:val="0"/>
              <w:keepLines w:val="0"/>
              <w:widowControl/>
              <w:suppressLineNumbers w:val="0"/>
              <w:jc w:val="left"/>
              <w:rPr>
                <w:rFonts w:hint="eastAsia" w:ascii="楷体" w:hAnsi="楷体" w:eastAsia="楷体" w:cs="楷体"/>
                <w:b/>
                <w:i w:val="0"/>
                <w:color w:val="000000"/>
                <w:sz w:val="21"/>
                <w:u w:val="none"/>
              </w:rPr>
            </w:pPr>
          </w:p>
        </w:tc>
      </w:tr>
    </w:tbl>
    <w:p w14:paraId="40ED1004">
      <w:pPr>
        <w:keepNext w:val="0"/>
        <w:keepLines w:val="0"/>
        <w:pageBreakBefore w:val="0"/>
        <w:kinsoku/>
        <w:wordWrap/>
        <w:overflowPunct/>
        <w:topLinePunct w:val="0"/>
        <w:autoSpaceDE/>
        <w:autoSpaceDN/>
        <w:bidi w:val="0"/>
        <w:adjustRightInd/>
        <w:snapToGrid/>
        <w:jc w:val="left"/>
        <w:rPr>
          <w:rFonts w:ascii="宋体" w:hAnsi="宋体" w:eastAsia="宋体" w:cs="宋体"/>
          <w:b/>
          <w:color w:val="323232"/>
          <w:sz w:val="28"/>
          <w:szCs w:val="24"/>
        </w:rPr>
      </w:pPr>
    </w:p>
    <w:p w14:paraId="7A9EBB61">
      <w:pPr>
        <w:keepNext w:val="0"/>
        <w:keepLines w:val="0"/>
        <w:pageBreakBefore w:val="0"/>
        <w:kinsoku/>
        <w:wordWrap/>
        <w:overflowPunct/>
        <w:topLinePunct w:val="0"/>
        <w:autoSpaceDE/>
        <w:autoSpaceDN/>
        <w:bidi w:val="0"/>
        <w:adjustRightInd/>
        <w:snapToGrid/>
        <w:jc w:val="left"/>
        <w:rPr>
          <w:rFonts w:hint="eastAsia" w:ascii="Calibri-Bold" w:hAnsi="Calibri-Bold" w:eastAsia="宋体" w:cs="Calibri-Bold"/>
          <w:b/>
          <w:color w:val="000000"/>
          <w:sz w:val="28"/>
          <w:szCs w:val="24"/>
          <w:lang w:eastAsia="zh-CN"/>
        </w:rPr>
      </w:pPr>
      <w:r>
        <w:rPr>
          <w:rFonts w:ascii="宋体" w:hAnsi="宋体" w:eastAsia="宋体" w:cs="宋体"/>
          <w:b/>
          <w:color w:val="323232"/>
          <w:sz w:val="28"/>
          <w:szCs w:val="24"/>
        </w:rPr>
        <w:t>一．家具名称、数量及金额</w:t>
      </w:r>
    </w:p>
    <w:p w14:paraId="7C229050">
      <w:pPr>
        <w:keepNext w:val="0"/>
        <w:keepLines w:val="0"/>
        <w:pageBreakBefore w:val="0"/>
        <w:kinsoku/>
        <w:wordWrap/>
        <w:overflowPunct/>
        <w:topLinePunct w:val="0"/>
        <w:autoSpaceDE/>
        <w:autoSpaceDN/>
        <w:bidi w:val="0"/>
        <w:adjustRightInd/>
        <w:snapToGrid/>
        <w:jc w:val="left"/>
        <w:rPr>
          <w:rFonts w:ascii="宋体" w:hAnsi="宋体" w:eastAsia="宋体" w:cs="宋体"/>
          <w:b/>
          <w:color w:val="323232"/>
          <w:sz w:val="28"/>
          <w:szCs w:val="24"/>
        </w:rPr>
      </w:pPr>
    </w:p>
    <w:p w14:paraId="58645772">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第二条：货款支付方式和结算</w:t>
      </w:r>
      <w:r>
        <w:rPr>
          <w:rFonts w:ascii="Calibri-Bold" w:hAnsi="Calibri-Bold" w:eastAsia="Calibri-Bold" w:cs="Calibri-Bold"/>
          <w:b/>
          <w:color w:val="323232"/>
          <w:sz w:val="28"/>
          <w:szCs w:val="24"/>
        </w:rPr>
        <w:t xml:space="preserve"> </w:t>
      </w:r>
    </w:p>
    <w:p w14:paraId="19A467F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FF0000"/>
          <w:sz w:val="28"/>
          <w:szCs w:val="24"/>
          <w:lang w:eastAsia="zh-CN"/>
        </w:rPr>
      </w:pPr>
      <w:r>
        <w:rPr>
          <w:rFonts w:ascii="宋体" w:hAnsi="宋体" w:eastAsia="宋体" w:cs="宋体"/>
          <w:color w:val="323232"/>
          <w:sz w:val="28"/>
          <w:szCs w:val="24"/>
        </w:rPr>
        <w:t>合同签订后，</w:t>
      </w:r>
      <w:r>
        <w:rPr>
          <w:rFonts w:hint="eastAsia" w:ascii="宋体" w:hAnsi="宋体" w:eastAsia="宋体" w:cs="宋体"/>
          <w:color w:val="323232"/>
          <w:sz w:val="28"/>
          <w:szCs w:val="24"/>
          <w:lang w:val="en-US" w:eastAsia="zh-CN"/>
        </w:rPr>
        <w:t>一次性付清货款</w:t>
      </w:r>
      <w:r>
        <w:rPr>
          <w:rFonts w:ascii="宋体" w:hAnsi="宋体" w:eastAsia="宋体" w:cs="宋体"/>
          <w:color w:val="323232"/>
          <w:sz w:val="28"/>
          <w:szCs w:val="24"/>
        </w:rPr>
        <w:t>。家具根据甲方的要求送达到指定地点</w:t>
      </w:r>
      <w:r>
        <w:rPr>
          <w:rFonts w:hint="eastAsia" w:ascii="宋体" w:hAnsi="宋体" w:eastAsia="宋体" w:cs="宋体"/>
          <w:b/>
          <w:color w:val="FF0000"/>
          <w:sz w:val="28"/>
          <w:szCs w:val="24"/>
          <w:lang w:eastAsia="zh-CN"/>
        </w:rPr>
        <w:t>。</w:t>
      </w:r>
    </w:p>
    <w:p w14:paraId="1DDA1937">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第三条：供货期、交货方式地点及验收</w:t>
      </w:r>
      <w:r>
        <w:rPr>
          <w:rFonts w:ascii="Calibri-Bold" w:hAnsi="Calibri-Bold" w:eastAsia="Calibri-Bold" w:cs="Calibri-Bold"/>
          <w:b/>
          <w:color w:val="323232"/>
          <w:sz w:val="28"/>
          <w:szCs w:val="24"/>
        </w:rPr>
        <w:t xml:space="preserve"> </w:t>
      </w:r>
    </w:p>
    <w:p w14:paraId="2775CCA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1.</w:t>
      </w:r>
      <w:r>
        <w:rPr>
          <w:rFonts w:ascii="宋体" w:hAnsi="宋体" w:eastAsia="宋体" w:cs="宋体"/>
          <w:color w:val="323232"/>
          <w:sz w:val="28"/>
          <w:szCs w:val="24"/>
        </w:rPr>
        <w:t>甲乙双方签订正式合同之日起开始计算供货周期，乙方在收到甲方支付预付款及签字确认图纸、色板、布板及其他相关技术要求后</w:t>
      </w:r>
      <w:r>
        <w:rPr>
          <w:rFonts w:ascii="Calibri" w:hAnsi="Calibri" w:eastAsia="Calibri" w:cs="Calibri"/>
          <w:color w:val="323232"/>
          <w:sz w:val="28"/>
          <w:szCs w:val="24"/>
        </w:rPr>
        <w:t xml:space="preserve"> </w:t>
      </w:r>
      <w:r>
        <w:rPr>
          <w:rFonts w:hint="eastAsia" w:ascii="宋体" w:hAnsi="宋体" w:eastAsia="宋体" w:cs="宋体"/>
          <w:b/>
          <w:bCs/>
          <w:color w:val="323232"/>
          <w:sz w:val="28"/>
          <w:szCs w:val="24"/>
          <w:u w:val="single"/>
          <w:lang w:val="en-US" w:eastAsia="zh-CN"/>
        </w:rPr>
        <w:t>10</w:t>
      </w:r>
      <w:r>
        <w:rPr>
          <w:rFonts w:ascii="宋体" w:hAnsi="宋体" w:eastAsia="宋体" w:cs="宋体"/>
          <w:color w:val="323232"/>
          <w:sz w:val="28"/>
          <w:szCs w:val="24"/>
        </w:rPr>
        <w:t>天内按时交货。</w:t>
      </w:r>
      <w:r>
        <w:rPr>
          <w:rFonts w:ascii="Calibri" w:hAnsi="Calibri" w:eastAsia="Calibri" w:cs="Calibri"/>
          <w:color w:val="000000"/>
          <w:sz w:val="28"/>
          <w:szCs w:val="24"/>
        </w:rPr>
        <w:t xml:space="preserve">  </w:t>
      </w:r>
    </w:p>
    <w:p w14:paraId="5B19D0E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Calibri" w:cs="Calibri"/>
          <w:color w:val="000000"/>
          <w:sz w:val="28"/>
          <w:szCs w:val="24"/>
          <w:lang w:eastAsia="zh-CN"/>
        </w:rPr>
      </w:pPr>
      <w:r>
        <w:rPr>
          <w:rFonts w:hint="eastAsia" w:ascii="Calibri" w:hAnsi="Calibri" w:eastAsia="宋体" w:cs="Calibri"/>
          <w:color w:val="323232"/>
          <w:sz w:val="28"/>
          <w:szCs w:val="24"/>
          <w:lang w:val="en-US" w:eastAsia="zh-CN"/>
        </w:rPr>
        <w:t>2</w:t>
      </w:r>
      <w:r>
        <w:rPr>
          <w:rFonts w:ascii="Calibri" w:hAnsi="Calibri" w:eastAsia="Calibri" w:cs="Calibri"/>
          <w:color w:val="323232"/>
          <w:sz w:val="28"/>
          <w:szCs w:val="24"/>
        </w:rPr>
        <w:t>.</w:t>
      </w:r>
      <w:r>
        <w:rPr>
          <w:rFonts w:ascii="宋体" w:hAnsi="宋体" w:eastAsia="宋体" w:cs="宋体"/>
          <w:color w:val="323232"/>
          <w:sz w:val="28"/>
          <w:szCs w:val="24"/>
        </w:rPr>
        <w:t>乙方负责送货到甲方指定地点：</w:t>
      </w:r>
      <w:r>
        <w:rPr>
          <w:rFonts w:hint="eastAsia" w:ascii="宋体" w:hAnsi="宋体" w:eastAsia="宋体" w:cs="宋体"/>
          <w:color w:val="323232"/>
          <w:sz w:val="28"/>
          <w:szCs w:val="24"/>
          <w:u w:val="single"/>
          <w:lang w:val="en-US" w:eastAsia="zh-CN"/>
        </w:rPr>
        <w:t xml:space="preserve">  就业局四楼  </w:t>
      </w:r>
      <w:r>
        <w:rPr>
          <w:rFonts w:ascii="宋体" w:hAnsi="宋体" w:eastAsia="宋体" w:cs="宋体"/>
          <w:color w:val="323232"/>
          <w:sz w:val="28"/>
          <w:szCs w:val="24"/>
        </w:rPr>
        <w:t>。</w:t>
      </w:r>
      <w:r>
        <w:rPr>
          <w:rFonts w:ascii="Calibri" w:hAnsi="Calibri" w:eastAsia="Calibri" w:cs="Calibri"/>
          <w:color w:val="323232"/>
          <w:sz w:val="28"/>
          <w:szCs w:val="24"/>
        </w:rPr>
        <w:t xml:space="preserve"> </w:t>
      </w:r>
      <w:r>
        <w:rPr>
          <w:rFonts w:ascii="宋体" w:hAnsi="宋体" w:eastAsia="宋体" w:cs="宋体"/>
          <w:color w:val="323232"/>
          <w:sz w:val="28"/>
          <w:szCs w:val="24"/>
        </w:rPr>
        <w:t>乙方应提供以下文件，供甲方验收（不仅限于以下文件）：</w:t>
      </w:r>
      <w:r>
        <w:rPr>
          <w:rFonts w:ascii="Calibri" w:hAnsi="Calibri" w:eastAsia="Calibri" w:cs="Calibri"/>
          <w:color w:val="000000"/>
          <w:sz w:val="28"/>
          <w:szCs w:val="24"/>
        </w:rPr>
        <w:t xml:space="preserve"> </w:t>
      </w:r>
    </w:p>
    <w:p w14:paraId="04B8A718">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1</w:t>
      </w:r>
      <w:r>
        <w:rPr>
          <w:rFonts w:ascii="宋体" w:hAnsi="宋体" w:eastAsia="宋体" w:cs="宋体"/>
          <w:color w:val="323232"/>
          <w:sz w:val="28"/>
          <w:szCs w:val="24"/>
        </w:rPr>
        <w:t>）货物组装使用说明书；</w:t>
      </w:r>
      <w:r>
        <w:rPr>
          <w:rFonts w:ascii="Calibri" w:hAnsi="Calibri" w:eastAsia="Calibri" w:cs="Calibri"/>
          <w:color w:val="000000"/>
          <w:sz w:val="28"/>
          <w:szCs w:val="24"/>
        </w:rPr>
        <w:t xml:space="preserve"> </w:t>
      </w:r>
    </w:p>
    <w:p w14:paraId="0D5FB4CC">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2</w:t>
      </w:r>
      <w:r>
        <w:rPr>
          <w:rFonts w:ascii="宋体" w:hAnsi="宋体" w:eastAsia="宋体" w:cs="宋体"/>
          <w:color w:val="323232"/>
          <w:sz w:val="28"/>
          <w:szCs w:val="24"/>
        </w:rPr>
        <w:t>）产品质量证明文件、本批次货物合格的产品出厂检测报告及产品检验合格证。</w:t>
      </w:r>
      <w:r>
        <w:rPr>
          <w:rFonts w:ascii="Calibri" w:hAnsi="Calibri" w:eastAsia="Calibri" w:cs="Calibri"/>
          <w:color w:val="000000"/>
          <w:sz w:val="28"/>
          <w:szCs w:val="24"/>
        </w:rPr>
        <w:t xml:space="preserve"> </w:t>
      </w:r>
    </w:p>
    <w:p w14:paraId="23E084BE">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3</w:t>
      </w:r>
      <w:r>
        <w:rPr>
          <w:rFonts w:ascii="宋体" w:hAnsi="宋体" w:eastAsia="宋体" w:cs="宋体"/>
          <w:color w:val="323232"/>
          <w:sz w:val="28"/>
          <w:szCs w:val="24"/>
        </w:rPr>
        <w:t>）使用维护清单；</w:t>
      </w:r>
    </w:p>
    <w:p w14:paraId="78A084B4">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w:t>
      </w:r>
      <w:r>
        <w:rPr>
          <w:rFonts w:ascii="Calibri" w:hAnsi="Calibri" w:eastAsia="Calibri" w:cs="Calibri"/>
          <w:color w:val="323232"/>
          <w:sz w:val="28"/>
          <w:szCs w:val="24"/>
        </w:rPr>
        <w:t>4</w:t>
      </w:r>
      <w:r>
        <w:rPr>
          <w:rFonts w:ascii="宋体" w:hAnsi="宋体" w:eastAsia="宋体" w:cs="宋体"/>
          <w:color w:val="323232"/>
          <w:sz w:val="28"/>
          <w:szCs w:val="24"/>
        </w:rPr>
        <w:t>）装箱清单；</w:t>
      </w:r>
      <w:r>
        <w:rPr>
          <w:rFonts w:ascii="Calibri" w:hAnsi="Calibri" w:eastAsia="Calibri" w:cs="Calibri"/>
          <w:color w:val="000000"/>
          <w:sz w:val="28"/>
          <w:szCs w:val="24"/>
        </w:rPr>
        <w:t xml:space="preserve"> </w:t>
      </w:r>
    </w:p>
    <w:p w14:paraId="377F4A49">
      <w:pPr>
        <w:keepNext w:val="0"/>
        <w:keepLines w:val="0"/>
        <w:pageBreakBefore w:val="0"/>
        <w:widowControl w:val="0"/>
        <w:kinsoku/>
        <w:wordWrap/>
        <w:overflowPunct/>
        <w:topLinePunct w:val="0"/>
        <w:autoSpaceDE/>
        <w:autoSpaceDN/>
        <w:bidi w:val="0"/>
        <w:adjustRightInd/>
        <w:snapToGrid/>
        <w:spacing w:line="520" w:lineRule="exact"/>
        <w:jc w:val="left"/>
        <w:rPr>
          <w:sz w:val="22"/>
          <w:szCs w:val="24"/>
        </w:rPr>
      </w:pPr>
      <w:r>
        <w:rPr>
          <w:rFonts w:ascii="宋体" w:hAnsi="宋体" w:eastAsia="宋体" w:cs="宋体"/>
          <w:color w:val="323232"/>
          <w:sz w:val="28"/>
          <w:szCs w:val="24"/>
        </w:rPr>
        <w:t>（</w:t>
      </w:r>
      <w:r>
        <w:rPr>
          <w:rFonts w:ascii="Calibri" w:hAnsi="Calibri" w:eastAsia="Calibri" w:cs="Calibri"/>
          <w:color w:val="323232"/>
          <w:sz w:val="28"/>
          <w:szCs w:val="24"/>
        </w:rPr>
        <w:t>5</w:t>
      </w:r>
      <w:r>
        <w:rPr>
          <w:rFonts w:ascii="宋体" w:hAnsi="宋体" w:eastAsia="宋体" w:cs="宋体"/>
          <w:color w:val="323232"/>
          <w:sz w:val="28"/>
          <w:szCs w:val="24"/>
        </w:rPr>
        <w:t>）其它与用户使用维护相关的资料。</w:t>
      </w:r>
      <w:r>
        <w:rPr>
          <w:rFonts w:ascii="Calibri" w:hAnsi="Calibri" w:eastAsia="Calibri" w:cs="Calibri"/>
          <w:color w:val="000000"/>
          <w:sz w:val="28"/>
          <w:szCs w:val="24"/>
        </w:rPr>
        <w:t xml:space="preserve"> </w:t>
      </w:r>
    </w:p>
    <w:p w14:paraId="5842F5C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rPr>
          <w:rFonts w:hint="eastAsia" w:ascii="Calibri" w:hAnsi="Calibri" w:eastAsia="宋体" w:cs="Calibri"/>
          <w:color w:val="000000"/>
          <w:sz w:val="28"/>
          <w:szCs w:val="24"/>
          <w:lang w:eastAsia="zh-CN"/>
        </w:rPr>
      </w:pPr>
      <w:r>
        <w:rPr>
          <w:rFonts w:hint="eastAsia" w:ascii="宋体" w:hAnsi="宋体" w:eastAsia="宋体" w:cs="宋体"/>
          <w:color w:val="323232"/>
          <w:sz w:val="28"/>
          <w:szCs w:val="24"/>
          <w:lang w:val="en-US" w:eastAsia="zh-CN"/>
        </w:rPr>
        <w:t>3.</w:t>
      </w:r>
      <w:r>
        <w:rPr>
          <w:rFonts w:ascii="宋体" w:hAnsi="宋体" w:eastAsia="宋体" w:cs="宋体"/>
          <w:color w:val="323232"/>
          <w:sz w:val="28"/>
          <w:szCs w:val="24"/>
        </w:rPr>
        <w:t>乙方上门安装，验收标准按双方认可的图纸及文字说明为准。乙方交货必须将标的家具运送到甲方指定的地点并负责卸货。送货前，乙方应与甲方及相关单位充分沟通，以便做好接货准备。货物到达指定现场后，由甲方、相关部门、乙方共同验收。</w:t>
      </w:r>
    </w:p>
    <w:p w14:paraId="3C6D0963">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第四条：质量保证</w:t>
      </w:r>
      <w:r>
        <w:rPr>
          <w:rFonts w:ascii="Calibri-Bold" w:hAnsi="Calibri-Bold" w:eastAsia="Calibri-Bold" w:cs="Calibri-Bold"/>
          <w:b/>
          <w:color w:val="323232"/>
          <w:sz w:val="28"/>
          <w:szCs w:val="24"/>
        </w:rPr>
        <w:t xml:space="preserve"> </w:t>
      </w:r>
    </w:p>
    <w:p w14:paraId="1D8911FC">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1.</w:t>
      </w:r>
      <w:r>
        <w:rPr>
          <w:rFonts w:ascii="宋体" w:hAnsi="宋体" w:eastAsia="宋体" w:cs="宋体"/>
          <w:color w:val="323232"/>
          <w:sz w:val="28"/>
          <w:szCs w:val="24"/>
        </w:rPr>
        <w:t>对所售货物乙方提供</w:t>
      </w:r>
      <w:r>
        <w:rPr>
          <w:rFonts w:ascii="Calibri" w:hAnsi="Calibri" w:eastAsia="Calibri" w:cs="Calibri"/>
          <w:color w:val="323232"/>
          <w:sz w:val="28"/>
          <w:szCs w:val="24"/>
          <w:u w:val="single"/>
        </w:rPr>
        <w:t xml:space="preserve"> </w:t>
      </w:r>
      <w:r>
        <w:rPr>
          <w:rFonts w:ascii="Calibri" w:hAnsi="Calibri" w:eastAsia="Calibri" w:cs="Calibri"/>
          <w:b/>
          <w:bCs/>
          <w:color w:val="323232"/>
          <w:sz w:val="28"/>
          <w:szCs w:val="24"/>
          <w:u w:val="single"/>
        </w:rPr>
        <w:t xml:space="preserve"> </w:t>
      </w:r>
      <w:r>
        <w:rPr>
          <w:rFonts w:hint="eastAsia" w:ascii="Calibri" w:hAnsi="Calibri" w:eastAsia="宋体" w:cs="Calibri"/>
          <w:b/>
          <w:bCs/>
          <w:color w:val="323232"/>
          <w:sz w:val="28"/>
          <w:szCs w:val="24"/>
          <w:u w:val="single"/>
          <w:lang w:val="en-US" w:eastAsia="zh-CN"/>
        </w:rPr>
        <w:t xml:space="preserve">1 </w:t>
      </w:r>
      <w:r>
        <w:rPr>
          <w:rFonts w:ascii="Calibri" w:hAnsi="Calibri" w:eastAsia="Calibri" w:cs="Calibri"/>
          <w:b/>
          <w:bCs/>
          <w:color w:val="323232"/>
          <w:sz w:val="28"/>
          <w:szCs w:val="24"/>
          <w:u w:val="single"/>
        </w:rPr>
        <w:t xml:space="preserve"> </w:t>
      </w:r>
      <w:r>
        <w:rPr>
          <w:rFonts w:ascii="宋体" w:hAnsi="宋体" w:eastAsia="宋体" w:cs="宋体"/>
          <w:color w:val="323232"/>
          <w:sz w:val="28"/>
          <w:szCs w:val="24"/>
        </w:rPr>
        <w:t>年的保用期，在保用期内因产品质量问题致使不能正常使用，乙方负责维修，费用由乙方承担。</w:t>
      </w:r>
      <w:r>
        <w:rPr>
          <w:rFonts w:ascii="Calibri" w:hAnsi="Calibri" w:eastAsia="Calibri" w:cs="Calibri"/>
          <w:color w:val="000000"/>
          <w:sz w:val="28"/>
          <w:szCs w:val="24"/>
        </w:rPr>
        <w:t xml:space="preserve"> </w:t>
      </w:r>
    </w:p>
    <w:p w14:paraId="47BC03FD">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2.</w:t>
      </w:r>
      <w:r>
        <w:rPr>
          <w:rFonts w:ascii="宋体" w:hAnsi="宋体" w:eastAsia="宋体" w:cs="宋体"/>
          <w:color w:val="323232"/>
          <w:sz w:val="28"/>
          <w:szCs w:val="24"/>
        </w:rPr>
        <w:t>保用期后的维修酌情收费。</w:t>
      </w:r>
      <w:r>
        <w:rPr>
          <w:rFonts w:ascii="Calibri" w:hAnsi="Calibri" w:eastAsia="Calibri" w:cs="Calibri"/>
          <w:color w:val="000000"/>
          <w:sz w:val="28"/>
          <w:szCs w:val="24"/>
        </w:rPr>
        <w:t xml:space="preserve"> </w:t>
      </w:r>
    </w:p>
    <w:p w14:paraId="57C4717A">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3.</w:t>
      </w:r>
      <w:r>
        <w:rPr>
          <w:rFonts w:ascii="宋体" w:hAnsi="宋体" w:eastAsia="宋体" w:cs="宋体"/>
          <w:color w:val="323232"/>
          <w:sz w:val="28"/>
          <w:szCs w:val="24"/>
        </w:rPr>
        <w:t>保用期内非产品质量原因，而因其它原因造成产品损坏，乙方维修酌情收费。</w:t>
      </w:r>
      <w:r>
        <w:rPr>
          <w:rFonts w:ascii="Calibri" w:hAnsi="Calibri" w:eastAsia="Calibri" w:cs="Calibri"/>
          <w:color w:val="000000"/>
          <w:sz w:val="28"/>
          <w:szCs w:val="24"/>
        </w:rPr>
        <w:t xml:space="preserve"> </w:t>
      </w:r>
    </w:p>
    <w:p w14:paraId="489AAB84">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第五条：甲方责任</w:t>
      </w:r>
      <w:r>
        <w:rPr>
          <w:rFonts w:ascii="Calibri-Bold" w:hAnsi="Calibri-Bold" w:eastAsia="Calibri-Bold" w:cs="Calibri-Bold"/>
          <w:b/>
          <w:color w:val="323232"/>
          <w:sz w:val="28"/>
          <w:szCs w:val="24"/>
        </w:rPr>
        <w:t xml:space="preserve"> </w:t>
      </w:r>
    </w:p>
    <w:p w14:paraId="0E501EEA">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宋体" w:hAnsi="宋体" w:eastAsia="宋体" w:cs="宋体"/>
          <w:color w:val="323232"/>
          <w:sz w:val="28"/>
          <w:szCs w:val="24"/>
        </w:rPr>
        <w:t>甲方应按照本合同规定按时向乙方支付货款。</w:t>
      </w:r>
    </w:p>
    <w:p w14:paraId="37E088CE">
      <w:pPr>
        <w:keepNext w:val="0"/>
        <w:keepLines w:val="0"/>
        <w:pageBreakBefore w:val="0"/>
        <w:widowControl w:val="0"/>
        <w:kinsoku/>
        <w:wordWrap/>
        <w:overflowPunct/>
        <w:topLinePunct w:val="0"/>
        <w:autoSpaceDE/>
        <w:autoSpaceDN/>
        <w:bidi w:val="0"/>
        <w:adjustRightInd/>
        <w:snapToGrid/>
        <w:spacing w:line="520" w:lineRule="exact"/>
        <w:jc w:val="left"/>
        <w:rPr>
          <w:rFonts w:hint="eastAsia" w:ascii="Calibri-Bold" w:hAnsi="Calibri-Bold" w:eastAsia="宋体" w:cs="Calibri-Bold"/>
          <w:b/>
          <w:color w:val="323232"/>
          <w:sz w:val="28"/>
          <w:szCs w:val="24"/>
          <w:lang w:eastAsia="zh-CN"/>
        </w:rPr>
      </w:pPr>
      <w:r>
        <w:rPr>
          <w:rFonts w:ascii="宋体" w:hAnsi="宋体" w:eastAsia="宋体" w:cs="宋体"/>
          <w:b/>
          <w:color w:val="323232"/>
          <w:sz w:val="28"/>
          <w:szCs w:val="24"/>
        </w:rPr>
        <w:t>第六条：乙方责任</w:t>
      </w:r>
      <w:r>
        <w:rPr>
          <w:rFonts w:ascii="Calibri-Bold" w:hAnsi="Calibri-Bold" w:eastAsia="Calibri-Bold" w:cs="Calibri-Bold"/>
          <w:b/>
          <w:color w:val="323232"/>
          <w:sz w:val="28"/>
          <w:szCs w:val="24"/>
        </w:rPr>
        <w:t xml:space="preserve"> </w:t>
      </w:r>
    </w:p>
    <w:p w14:paraId="497C02BD">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 xml:space="preserve">1. </w:t>
      </w:r>
      <w:r>
        <w:rPr>
          <w:rFonts w:ascii="宋体" w:hAnsi="宋体" w:eastAsia="宋体" w:cs="宋体"/>
          <w:color w:val="323232"/>
          <w:sz w:val="28"/>
          <w:szCs w:val="24"/>
        </w:rPr>
        <w:t>乙方应保证其提供的标的是全新的、优质的、无损的、未经使用的，并在各个方面符合本合同规定的和法定的质量、规格和性能要求。乙方应保证其标的经过正确安装、合理操作，在寿命周期内使用良好。</w:t>
      </w:r>
      <w:r>
        <w:rPr>
          <w:rFonts w:ascii="Calibri" w:hAnsi="Calibri" w:eastAsia="Calibri" w:cs="Calibri"/>
          <w:color w:val="000000"/>
          <w:sz w:val="28"/>
          <w:szCs w:val="24"/>
        </w:rPr>
        <w:t xml:space="preserve"> </w:t>
      </w:r>
    </w:p>
    <w:p w14:paraId="23217C85">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2.</w:t>
      </w:r>
      <w:r>
        <w:rPr>
          <w:rFonts w:ascii="宋体" w:hAnsi="宋体" w:eastAsia="宋体" w:cs="宋体"/>
          <w:color w:val="323232"/>
          <w:sz w:val="28"/>
          <w:szCs w:val="24"/>
        </w:rPr>
        <w:t>乙方应对所供家具材料的产品质量负责。</w:t>
      </w:r>
      <w:r>
        <w:rPr>
          <w:rFonts w:ascii="Calibri" w:hAnsi="Calibri" w:eastAsia="Calibri" w:cs="Calibri"/>
          <w:color w:val="000000"/>
          <w:sz w:val="28"/>
          <w:szCs w:val="24"/>
        </w:rPr>
        <w:t xml:space="preserve"> </w:t>
      </w:r>
    </w:p>
    <w:p w14:paraId="699F858B">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3.</w:t>
      </w:r>
      <w:r>
        <w:rPr>
          <w:rFonts w:ascii="宋体" w:hAnsi="宋体" w:eastAsia="宋体" w:cs="宋体"/>
          <w:color w:val="323232"/>
          <w:sz w:val="28"/>
          <w:szCs w:val="24"/>
        </w:rPr>
        <w:t>乙方提供的货物须包括但不限于以下工作服务内容：</w:t>
      </w:r>
    </w:p>
    <w:p w14:paraId="03FD9502">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4.</w:t>
      </w:r>
      <w:r>
        <w:rPr>
          <w:rFonts w:ascii="宋体" w:hAnsi="宋体" w:eastAsia="宋体" w:cs="宋体"/>
          <w:color w:val="323232"/>
          <w:sz w:val="28"/>
          <w:szCs w:val="24"/>
        </w:rPr>
        <w:t>按甲方认可的方案进行家具的包装、运输；</w:t>
      </w:r>
    </w:p>
    <w:p w14:paraId="7961B0B1">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(1</w:t>
      </w:r>
      <w:r>
        <w:rPr>
          <w:rFonts w:ascii="宋体" w:hAnsi="宋体" w:eastAsia="宋体" w:cs="宋体"/>
          <w:color w:val="323232"/>
          <w:sz w:val="28"/>
          <w:szCs w:val="24"/>
        </w:rPr>
        <w:t>）货物运输并卸至甲方指定地点；</w:t>
      </w:r>
      <w:r>
        <w:rPr>
          <w:rFonts w:ascii="Calibri" w:hAnsi="Calibri" w:eastAsia="Calibri" w:cs="Calibri"/>
          <w:color w:val="000000"/>
          <w:sz w:val="28"/>
          <w:szCs w:val="24"/>
        </w:rPr>
        <w:t xml:space="preserve"> </w:t>
      </w:r>
    </w:p>
    <w:p w14:paraId="4EBF18A7">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 xml:space="preserve">(2) </w:t>
      </w:r>
      <w:r>
        <w:rPr>
          <w:rFonts w:ascii="宋体" w:hAnsi="宋体" w:eastAsia="宋体" w:cs="宋体"/>
          <w:color w:val="323232"/>
          <w:sz w:val="28"/>
          <w:szCs w:val="24"/>
        </w:rPr>
        <w:t>所供货物通过有关部门的检验和试验，并承担所需费用；</w:t>
      </w:r>
      <w:r>
        <w:rPr>
          <w:rFonts w:ascii="Calibri" w:hAnsi="Calibri" w:eastAsia="Calibri" w:cs="Calibri"/>
          <w:color w:val="000000"/>
          <w:sz w:val="28"/>
          <w:szCs w:val="24"/>
        </w:rPr>
        <w:t xml:space="preserve"> </w:t>
      </w:r>
    </w:p>
    <w:p w14:paraId="60A1A72E">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rFonts w:ascii="宋体" w:hAnsi="宋体" w:eastAsia="宋体" w:cs="宋体"/>
          <w:color w:val="323232"/>
          <w:sz w:val="28"/>
          <w:szCs w:val="24"/>
        </w:rPr>
      </w:pPr>
      <w:r>
        <w:rPr>
          <w:rFonts w:ascii="Calibri" w:hAnsi="Calibri" w:eastAsia="Calibri" w:cs="Calibri"/>
          <w:color w:val="323232"/>
          <w:sz w:val="28"/>
          <w:szCs w:val="24"/>
        </w:rPr>
        <w:t xml:space="preserve">(3) </w:t>
      </w:r>
      <w:r>
        <w:rPr>
          <w:rFonts w:ascii="宋体" w:hAnsi="宋体" w:eastAsia="宋体" w:cs="宋体"/>
          <w:color w:val="323232"/>
          <w:sz w:val="28"/>
          <w:szCs w:val="24"/>
        </w:rPr>
        <w:t>乙方必须负责所提供的产品通过相关部门组织的验收，</w:t>
      </w:r>
    </w:p>
    <w:p w14:paraId="1BF8F0AE">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left"/>
        <w:rPr>
          <w:sz w:val="22"/>
          <w:szCs w:val="24"/>
        </w:rPr>
      </w:pPr>
      <w:r>
        <w:rPr>
          <w:rFonts w:ascii="Calibri" w:hAnsi="Calibri" w:eastAsia="Calibri" w:cs="Calibri"/>
          <w:color w:val="323232"/>
          <w:sz w:val="28"/>
          <w:szCs w:val="24"/>
        </w:rPr>
        <w:t xml:space="preserve">(4) </w:t>
      </w:r>
      <w:r>
        <w:rPr>
          <w:rFonts w:ascii="宋体" w:hAnsi="宋体" w:eastAsia="宋体" w:cs="宋体"/>
          <w:color w:val="323232"/>
          <w:sz w:val="28"/>
          <w:szCs w:val="24"/>
        </w:rPr>
        <w:t>本家具产品的检测、验收合格及产品样品抽检合格并不免除因乙方提供不合格产品而应承担的责任。</w:t>
      </w:r>
      <w:r>
        <w:rPr>
          <w:rFonts w:ascii="Calibri" w:hAnsi="Calibri" w:eastAsia="Calibri" w:cs="Calibri"/>
          <w:color w:val="000000"/>
          <w:sz w:val="28"/>
          <w:szCs w:val="24"/>
        </w:rPr>
        <w:t xml:space="preserve"> </w:t>
      </w:r>
    </w:p>
    <w:p w14:paraId="560C7136">
      <w:pPr>
        <w:keepNext w:val="0"/>
        <w:keepLines w:val="0"/>
        <w:pageBreakBefore w:val="0"/>
        <w:widowControl w:val="0"/>
        <w:kinsoku/>
        <w:wordWrap/>
        <w:overflowPunct/>
        <w:topLinePunct w:val="0"/>
        <w:autoSpaceDE/>
        <w:autoSpaceDN/>
        <w:bidi w:val="0"/>
        <w:adjustRightInd/>
        <w:snapToGrid/>
        <w:spacing w:line="520" w:lineRule="exact"/>
        <w:ind w:firstLine="525"/>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5.</w:t>
      </w:r>
      <w:r>
        <w:rPr>
          <w:rFonts w:ascii="宋体" w:hAnsi="宋体" w:eastAsia="宋体" w:cs="宋体"/>
          <w:color w:val="323232"/>
          <w:sz w:val="28"/>
          <w:szCs w:val="24"/>
        </w:rPr>
        <w:t>乙方负责全部货物的生产并在合同规定的时间内将合同所规定的材料运送到甲方指定的地点装卸。</w:t>
      </w:r>
      <w:r>
        <w:rPr>
          <w:rFonts w:ascii="Calibri" w:hAnsi="Calibri" w:eastAsia="Calibri" w:cs="Calibri"/>
          <w:color w:val="000000"/>
          <w:sz w:val="28"/>
          <w:szCs w:val="24"/>
        </w:rPr>
        <w:t xml:space="preserve"> </w:t>
      </w:r>
    </w:p>
    <w:p w14:paraId="7927DDBB">
      <w:pPr>
        <w:keepNext w:val="0"/>
        <w:keepLines w:val="0"/>
        <w:pageBreakBefore w:val="0"/>
        <w:widowControl w:val="0"/>
        <w:kinsoku/>
        <w:wordWrap/>
        <w:overflowPunct/>
        <w:topLinePunct w:val="0"/>
        <w:autoSpaceDE/>
        <w:autoSpaceDN/>
        <w:bidi w:val="0"/>
        <w:adjustRightInd/>
        <w:snapToGrid/>
        <w:spacing w:line="520" w:lineRule="exact"/>
        <w:ind w:firstLine="525"/>
        <w:jc w:val="left"/>
        <w:rPr>
          <w:rFonts w:hint="eastAsia" w:ascii="Calibri" w:hAnsi="Calibri" w:eastAsia="宋体" w:cs="Calibri"/>
          <w:color w:val="000000"/>
          <w:sz w:val="28"/>
          <w:szCs w:val="24"/>
          <w:lang w:eastAsia="zh-CN"/>
        </w:rPr>
      </w:pPr>
      <w:r>
        <w:rPr>
          <w:rFonts w:ascii="Calibri" w:hAnsi="Calibri" w:eastAsia="Calibri" w:cs="Calibri"/>
          <w:color w:val="323232"/>
          <w:sz w:val="28"/>
          <w:szCs w:val="24"/>
        </w:rPr>
        <w:t>6.</w:t>
      </w:r>
      <w:r>
        <w:rPr>
          <w:rFonts w:ascii="宋体" w:hAnsi="宋体" w:eastAsia="宋体" w:cs="宋体"/>
          <w:color w:val="323232"/>
          <w:sz w:val="28"/>
          <w:szCs w:val="24"/>
        </w:rPr>
        <w:t>乙方承担运费、装卸费及一切风险。</w:t>
      </w:r>
    </w:p>
    <w:p w14:paraId="58860103">
      <w:pPr>
        <w:keepNext w:val="0"/>
        <w:keepLines w:val="0"/>
        <w:pageBreakBefore w:val="0"/>
        <w:widowControl w:val="0"/>
        <w:kinsoku/>
        <w:wordWrap/>
        <w:overflowPunct/>
        <w:topLinePunct w:val="0"/>
        <w:autoSpaceDE/>
        <w:autoSpaceDN/>
        <w:bidi w:val="0"/>
        <w:adjustRightInd/>
        <w:snapToGrid/>
        <w:spacing w:line="520" w:lineRule="exact"/>
        <w:ind w:firstLine="525"/>
        <w:jc w:val="left"/>
        <w:rPr>
          <w:rFonts w:hint="eastAsia"/>
          <w:b/>
          <w:sz w:val="24"/>
        </w:rPr>
      </w:pPr>
      <w:r>
        <w:rPr>
          <w:rFonts w:hint="eastAsia" w:asciiTheme="minorEastAsia" w:hAnsiTheme="minorEastAsia" w:eastAsiaTheme="minorEastAsia"/>
          <w:sz w:val="24"/>
          <w:szCs w:val="24"/>
          <w:lang w:eastAsia="zh-CN"/>
        </w:rPr>
        <w:drawing>
          <wp:anchor distT="0" distB="0" distL="114300" distR="114300" simplePos="0" relativeHeight="251659264" behindDoc="1" locked="0" layoutInCell="1" allowOverlap="1">
            <wp:simplePos x="0" y="0"/>
            <wp:positionH relativeFrom="column">
              <wp:posOffset>3705225</wp:posOffset>
            </wp:positionH>
            <wp:positionV relativeFrom="paragraph">
              <wp:posOffset>593725</wp:posOffset>
            </wp:positionV>
            <wp:extent cx="1456690" cy="1441450"/>
            <wp:effectExtent l="0" t="0" r="10160" b="6350"/>
            <wp:wrapNone/>
            <wp:docPr id="1" name="图片 1" descr="合同(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同(1)_02"/>
                    <pic:cNvPicPr>
                      <a:picLocks noChangeAspect="1"/>
                    </pic:cNvPicPr>
                  </pic:nvPicPr>
                  <pic:blipFill>
                    <a:blip r:embed="rId5"/>
                    <a:stretch>
                      <a:fillRect/>
                    </a:stretch>
                  </pic:blipFill>
                  <pic:spPr>
                    <a:xfrm>
                      <a:off x="0" y="0"/>
                      <a:ext cx="1456690" cy="1441450"/>
                    </a:xfrm>
                    <a:prstGeom prst="rect">
                      <a:avLst/>
                    </a:prstGeom>
                  </pic:spPr>
                </pic:pic>
              </a:graphicData>
            </a:graphic>
          </wp:anchor>
        </w:drawing>
      </w:r>
      <w:r>
        <w:rPr>
          <w:rFonts w:ascii="宋体" w:hAnsi="宋体" w:eastAsia="宋体" w:cs="宋体"/>
          <w:color w:val="323232"/>
          <w:sz w:val="28"/>
          <w:szCs w:val="24"/>
        </w:rPr>
        <w:t>本合同一式</w:t>
      </w:r>
      <w:r>
        <w:rPr>
          <w:rFonts w:hint="eastAsia" w:ascii="宋体" w:hAnsi="宋体" w:eastAsia="宋体" w:cs="宋体"/>
          <w:color w:val="323232"/>
          <w:sz w:val="28"/>
          <w:szCs w:val="24"/>
          <w:lang w:val="en-US" w:eastAsia="zh-CN"/>
        </w:rPr>
        <w:t>二</w:t>
      </w:r>
      <w:r>
        <w:rPr>
          <w:rFonts w:ascii="宋体" w:hAnsi="宋体" w:eastAsia="宋体" w:cs="宋体"/>
          <w:color w:val="323232"/>
          <w:sz w:val="28"/>
          <w:szCs w:val="24"/>
        </w:rPr>
        <w:t>份，各执</w:t>
      </w:r>
      <w:r>
        <w:rPr>
          <w:rFonts w:hint="eastAsia" w:ascii="宋体" w:hAnsi="宋体" w:eastAsia="宋体" w:cs="宋体"/>
          <w:color w:val="323232"/>
          <w:sz w:val="28"/>
          <w:szCs w:val="24"/>
          <w:lang w:val="en-US" w:eastAsia="zh-CN"/>
        </w:rPr>
        <w:t>一</w:t>
      </w:r>
      <w:r>
        <w:rPr>
          <w:rFonts w:ascii="宋体" w:hAnsi="宋体" w:eastAsia="宋体" w:cs="宋体"/>
          <w:color w:val="323232"/>
          <w:sz w:val="28"/>
          <w:szCs w:val="24"/>
        </w:rPr>
        <w:t>份，自双方盖章之日起生效。与本合同相关的订货单、验收单、设计图纸等相关文件均为合同附件。</w:t>
      </w:r>
      <w:r>
        <w:rPr>
          <w:rFonts w:ascii="Calibri" w:hAnsi="Calibri" w:eastAsia="Calibri" w:cs="Calibri"/>
          <w:color w:val="323232"/>
          <w:sz w:val="28"/>
          <w:szCs w:val="24"/>
        </w:rPr>
        <w:t xml:space="preserve"> </w:t>
      </w:r>
    </w:p>
    <w:p w14:paraId="1996CAD1">
      <w:pPr>
        <w:keepNext w:val="0"/>
        <w:keepLines w:val="0"/>
        <w:pageBreakBefore w:val="0"/>
        <w:kinsoku/>
        <w:wordWrap/>
        <w:overflowPunct/>
        <w:topLinePunct w:val="0"/>
        <w:autoSpaceDE/>
        <w:autoSpaceDN/>
        <w:bidi w:val="0"/>
        <w:adjustRightInd/>
        <w:snapToGrid/>
        <w:ind w:firstLine="525"/>
        <w:jc w:val="left"/>
        <w:rPr>
          <w:rFonts w:hint="eastAsia"/>
          <w:b/>
          <w:sz w:val="24"/>
        </w:rPr>
      </w:pPr>
    </w:p>
    <w:p w14:paraId="37BDEBAC">
      <w:pPr>
        <w:keepNext w:val="0"/>
        <w:keepLines w:val="0"/>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sz w:val="24"/>
          <w:szCs w:val="24"/>
          <w:lang w:eastAsia="zh-CN"/>
        </w:rPr>
      </w:pPr>
    </w:p>
    <w:p w14:paraId="0E80B7D9">
      <w:pPr>
        <w:keepNext w:val="0"/>
        <w:keepLines w:val="0"/>
        <w:pageBreakBefore w:val="0"/>
        <w:kinsoku/>
        <w:wordWrap/>
        <w:overflowPunct/>
        <w:topLinePunct w:val="0"/>
        <w:autoSpaceDE/>
        <w:autoSpaceDN/>
        <w:bidi w:val="0"/>
        <w:adjustRightInd/>
        <w:snapToGrid/>
        <w:jc w:val="both"/>
        <w:rPr>
          <w:rFonts w:asciiTheme="minorEastAsia" w:hAnsiTheme="minorEastAsia"/>
          <w:sz w:val="24"/>
          <w:szCs w:val="24"/>
        </w:rPr>
      </w:pPr>
      <w:r>
        <w:rPr>
          <w:rFonts w:hint="eastAsia" w:asciiTheme="minorEastAsia" w:hAnsiTheme="minorEastAsia"/>
          <w:b w:val="0"/>
          <w:bCs/>
          <w:sz w:val="24"/>
          <w:szCs w:val="24"/>
          <w:lang w:val="en-US" w:eastAsia="zh-CN"/>
        </w:rPr>
        <w:t xml:space="preserve">甲方：乌兰浩特市社会保险事业服务中心    </w:t>
      </w:r>
      <w:r>
        <w:rPr>
          <w:rFonts w:hint="eastAsia" w:asciiTheme="minorEastAsia" w:hAnsiTheme="minorEastAsia"/>
          <w:b/>
          <w:sz w:val="24"/>
          <w:szCs w:val="24"/>
          <w:lang w:val="en-US" w:eastAsia="zh-CN"/>
        </w:rPr>
        <w:t xml:space="preserve">  </w:t>
      </w:r>
      <w:r>
        <w:rPr>
          <w:rFonts w:hint="eastAsia" w:asciiTheme="minorEastAsia" w:hAnsiTheme="minorEastAsia"/>
          <w:sz w:val="24"/>
          <w:szCs w:val="24"/>
          <w:lang w:val="en-US" w:eastAsia="zh-CN"/>
        </w:rPr>
        <w:t xml:space="preserve">乙方：乌兰浩特市佺美办公家具店  </w:t>
      </w:r>
    </w:p>
    <w:p w14:paraId="31E0EBFA">
      <w:pPr>
        <w:keepNext w:val="0"/>
        <w:keepLines w:val="0"/>
        <w:pageBreakBefore w:val="0"/>
        <w:kinsoku/>
        <w:wordWrap/>
        <w:overflowPunct/>
        <w:topLinePunct w:val="0"/>
        <w:autoSpaceDE/>
        <w:autoSpaceDN/>
        <w:bidi w:val="0"/>
        <w:adjustRightInd/>
        <w:snapToGrid/>
        <w:jc w:val="left"/>
        <w:rPr>
          <w:rFonts w:hint="eastAsia" w:eastAsiaTheme="minorEastAsia"/>
          <w:sz w:val="22"/>
          <w:szCs w:val="24"/>
          <w:lang w:eastAsia="zh-CN"/>
        </w:rPr>
      </w:pPr>
    </w:p>
    <w:p w14:paraId="372C1E50">
      <w:pPr>
        <w:keepNext w:val="0"/>
        <w:keepLines w:val="0"/>
        <w:pageBreakBefore w:val="0"/>
        <w:kinsoku/>
        <w:wordWrap/>
        <w:overflowPunct/>
        <w:topLinePunct w:val="0"/>
        <w:autoSpaceDE/>
        <w:autoSpaceDN/>
        <w:bidi w:val="0"/>
        <w:adjustRightInd/>
        <w:snapToGrid/>
        <w:ind w:firstLine="200" w:firstLineChars="100"/>
        <w:jc w:val="left"/>
        <w:rPr>
          <w:rFonts w:hint="eastAsia" w:eastAsiaTheme="minorEastAsia"/>
          <w:sz w:val="22"/>
          <w:szCs w:val="24"/>
          <w:lang w:eastAsia="zh-CN"/>
        </w:rPr>
      </w:pPr>
      <w:r>
        <w:rPr>
          <w:rFonts w:ascii="Calibri" w:hAnsi="Calibri" w:eastAsia="Calibri" w:cs="Calibri"/>
          <w:color w:val="000000"/>
          <w:sz w:val="20"/>
          <w:szCs w:val="24"/>
        </w:rPr>
        <w:t>.</w:t>
      </w:r>
      <w:r>
        <w:rPr>
          <w:rFonts w:hint="eastAsia" w:ascii="Calibri" w:hAnsi="Calibri" w:eastAsia="宋体" w:cs="Calibri"/>
          <w:color w:val="000000"/>
          <w:sz w:val="20"/>
          <w:szCs w:val="24"/>
          <w:lang w:val="en-US" w:eastAsia="zh-CN"/>
        </w:rPr>
        <w:t xml:space="preserve"> </w:t>
      </w:r>
    </w:p>
    <w:p w14:paraId="2841E734">
      <w:pPr>
        <w:keepNext w:val="0"/>
        <w:keepLines w:val="0"/>
        <w:pageBreakBefore w:val="0"/>
        <w:kinsoku/>
        <w:wordWrap/>
        <w:overflowPunct/>
        <w:topLinePunct w:val="0"/>
        <w:autoSpaceDE/>
        <w:autoSpaceDN/>
        <w:bidi w:val="0"/>
        <w:adjustRightInd/>
        <w:snapToGrid/>
        <w:ind w:firstLine="1120" w:firstLineChars="400"/>
        <w:jc w:val="left"/>
        <w:rPr>
          <w:rFonts w:hint="default" w:eastAsia="宋体"/>
          <w:sz w:val="22"/>
          <w:szCs w:val="24"/>
          <w:lang w:val="en-US" w:eastAsia="zh-CN"/>
        </w:rPr>
      </w:pPr>
      <w:r>
        <w:rPr>
          <w:rFonts w:hint="eastAsia" w:ascii="Calibri" w:hAnsi="Calibri" w:eastAsia="宋体" w:cs="Calibri"/>
          <w:color w:val="000000"/>
          <w:sz w:val="28"/>
          <w:szCs w:val="24"/>
          <w:lang w:val="en-US" w:eastAsia="zh-CN"/>
        </w:rPr>
        <w:t xml:space="preserve">2025年4月24日               </w:t>
      </w:r>
      <w:bookmarkStart w:id="0" w:name="_GoBack"/>
      <w:bookmarkEnd w:id="0"/>
      <w:r>
        <w:rPr>
          <w:rFonts w:hint="eastAsia" w:ascii="Calibri" w:hAnsi="Calibri" w:eastAsia="宋体" w:cs="Calibri"/>
          <w:color w:val="000000"/>
          <w:sz w:val="28"/>
          <w:szCs w:val="24"/>
          <w:lang w:val="en-US" w:eastAsia="zh-CN"/>
        </w:rPr>
        <w:t xml:space="preserve">                            2025年4月24日</w:t>
      </w:r>
    </w:p>
    <w:sectPr>
      <w:pgSz w:w="11906" w:h="16838"/>
      <w:pgMar w:top="1440" w:right="1417" w:bottom="1417"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7055D"/>
    <w:rsid w:val="02BD496D"/>
    <w:rsid w:val="04765E58"/>
    <w:rsid w:val="062249FC"/>
    <w:rsid w:val="06A04925"/>
    <w:rsid w:val="08EE2286"/>
    <w:rsid w:val="0F1B159F"/>
    <w:rsid w:val="14F51E1E"/>
    <w:rsid w:val="154E7D9C"/>
    <w:rsid w:val="15FF7E91"/>
    <w:rsid w:val="1BAB6B99"/>
    <w:rsid w:val="1D424617"/>
    <w:rsid w:val="1F5E7C06"/>
    <w:rsid w:val="21483265"/>
    <w:rsid w:val="25A51C98"/>
    <w:rsid w:val="27636EE0"/>
    <w:rsid w:val="344B5D9B"/>
    <w:rsid w:val="351B1262"/>
    <w:rsid w:val="36C81E53"/>
    <w:rsid w:val="43CC6DCC"/>
    <w:rsid w:val="49FD5766"/>
    <w:rsid w:val="4F451D45"/>
    <w:rsid w:val="500268EB"/>
    <w:rsid w:val="50EF7C62"/>
    <w:rsid w:val="586236D9"/>
    <w:rsid w:val="5B45486A"/>
    <w:rsid w:val="69E93E5B"/>
    <w:rsid w:val="6B655916"/>
    <w:rsid w:val="74696388"/>
    <w:rsid w:val="789D77E0"/>
    <w:rsid w:val="7CC1140A"/>
    <w:rsid w:val="7D6565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1155</Words>
  <Characters>1200</Characters>
  <Lines>0</Lines>
  <Paragraphs>0</Paragraphs>
  <TotalTime>57</TotalTime>
  <ScaleCrop>false</ScaleCrop>
  <LinksUpToDate>false</LinksUpToDate>
  <CharactersWithSpaces>1313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2022-03-03T00:06:00Z</dcterms:created>
  <dc:creator>Apache POI</dc:creator>
  <cp:lastModifiedBy>太阳的深海-</cp:lastModifiedBy>
  <dcterms:modified xsi:type="dcterms:W3CDTF">2025-04-25T01:47:51Z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A2B2836BD2704BEB893FDABD1188AAC8_13</vt:lpwstr>
  </property>
  <property fmtid="{D5CDD505-2E9C-101B-9397-08002B2CF9AE}" pid="4" name="KSOTemplateDocerSaveRecord">
    <vt:lpwstr>eyJoZGlkIjoiM2U0NDA0NDE3NThlYzg1MGMyOTc0MjRhNTNlZDcyOTQiLCJ1c2VySWQiOiI2MzUwMjI0NDYifQ==</vt:lpwstr>
  </property>
</Properties>
</file>